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F362" w14:textId="77777777" w:rsidR="00C445CF" w:rsidRDefault="004B50A0" w:rsidP="004B50A0">
      <w:pPr>
        <w:spacing w:after="50" w:line="259" w:lineRule="auto"/>
        <w:ind w:left="0" w:right="8" w:hanging="10"/>
        <w:jc w:val="center"/>
      </w:pPr>
      <w:r>
        <w:rPr>
          <w:b/>
          <w:sz w:val="26"/>
        </w:rPr>
        <w:t xml:space="preserve"> </w:t>
      </w:r>
      <w:r w:rsidR="00DB4137">
        <w:rPr>
          <w:b/>
          <w:sz w:val="32"/>
        </w:rPr>
        <w:t>S</w:t>
      </w:r>
      <w:r w:rsidR="00DB4137">
        <w:rPr>
          <w:b/>
          <w:sz w:val="26"/>
        </w:rPr>
        <w:t xml:space="preserve">ZÉCHENYI </w:t>
      </w:r>
      <w:r w:rsidR="00DB4137">
        <w:rPr>
          <w:b/>
          <w:sz w:val="32"/>
        </w:rPr>
        <w:t>I</w:t>
      </w:r>
      <w:r w:rsidR="00DB4137">
        <w:rPr>
          <w:b/>
          <w:sz w:val="26"/>
        </w:rPr>
        <w:t xml:space="preserve">STVÁN </w:t>
      </w:r>
      <w:r w:rsidR="00DB4137">
        <w:rPr>
          <w:b/>
          <w:sz w:val="32"/>
        </w:rPr>
        <w:t>E</w:t>
      </w:r>
      <w:r w:rsidR="00DB4137">
        <w:rPr>
          <w:b/>
          <w:sz w:val="26"/>
        </w:rPr>
        <w:t>GYETEM</w:t>
      </w:r>
      <w:r w:rsidR="00DB4137">
        <w:rPr>
          <w:b/>
          <w:sz w:val="32"/>
        </w:rPr>
        <w:t xml:space="preserve"> A</w:t>
      </w:r>
      <w:r w:rsidR="00DB4137">
        <w:rPr>
          <w:b/>
          <w:sz w:val="26"/>
        </w:rPr>
        <w:t xml:space="preserve">PÁCZAI </w:t>
      </w:r>
      <w:r w:rsidR="00DB4137">
        <w:rPr>
          <w:b/>
          <w:sz w:val="32"/>
        </w:rPr>
        <w:t>C</w:t>
      </w:r>
      <w:r w:rsidR="00DB4137">
        <w:rPr>
          <w:b/>
          <w:sz w:val="26"/>
        </w:rPr>
        <w:t xml:space="preserve">SERE </w:t>
      </w:r>
      <w:r w:rsidR="00DB4137">
        <w:rPr>
          <w:b/>
          <w:sz w:val="32"/>
        </w:rPr>
        <w:t>J</w:t>
      </w:r>
      <w:r>
        <w:rPr>
          <w:b/>
          <w:sz w:val="26"/>
        </w:rPr>
        <w:t xml:space="preserve">ÁNOS </w:t>
      </w:r>
      <w:r w:rsidR="00DB4137">
        <w:rPr>
          <w:b/>
          <w:sz w:val="32"/>
        </w:rPr>
        <w:t>P</w:t>
      </w:r>
      <w:r w:rsidR="00DB4137">
        <w:rPr>
          <w:b/>
          <w:sz w:val="26"/>
        </w:rPr>
        <w:t>EDAGÓGIAI</w:t>
      </w:r>
      <w:r w:rsidR="00DB4137">
        <w:rPr>
          <w:b/>
          <w:sz w:val="32"/>
        </w:rPr>
        <w:t>,</w:t>
      </w:r>
      <w:r w:rsidR="00DB4137">
        <w:rPr>
          <w:b/>
          <w:sz w:val="26"/>
        </w:rPr>
        <w:t xml:space="preserve"> </w:t>
      </w:r>
      <w:r w:rsidR="00DB4137">
        <w:rPr>
          <w:b/>
          <w:sz w:val="32"/>
        </w:rPr>
        <w:t>H</w:t>
      </w:r>
      <w:r w:rsidR="00DB4137">
        <w:rPr>
          <w:b/>
          <w:sz w:val="26"/>
        </w:rPr>
        <w:t>UMÁN</w:t>
      </w:r>
      <w:r w:rsidR="00DB4137">
        <w:rPr>
          <w:b/>
          <w:sz w:val="32"/>
        </w:rPr>
        <w:t>-</w:t>
      </w:r>
      <w:r w:rsidR="00DB4137">
        <w:rPr>
          <w:b/>
          <w:sz w:val="26"/>
        </w:rPr>
        <w:t xml:space="preserve"> ÉS </w:t>
      </w:r>
      <w:r w:rsidR="00DB4137">
        <w:rPr>
          <w:b/>
          <w:sz w:val="32"/>
        </w:rPr>
        <w:t>T</w:t>
      </w:r>
      <w:r w:rsidR="00DB4137">
        <w:rPr>
          <w:b/>
          <w:sz w:val="26"/>
        </w:rPr>
        <w:t xml:space="preserve">ÁRSADALOMTUDOMÁNYI </w:t>
      </w:r>
      <w:r w:rsidR="00DB4137">
        <w:rPr>
          <w:b/>
          <w:sz w:val="32"/>
        </w:rPr>
        <w:t>K</w:t>
      </w:r>
      <w:r w:rsidR="00DB4137">
        <w:rPr>
          <w:b/>
          <w:sz w:val="26"/>
        </w:rPr>
        <w:t xml:space="preserve">AR </w:t>
      </w:r>
      <w:r w:rsidR="00DB4137">
        <w:rPr>
          <w:b/>
          <w:sz w:val="32"/>
        </w:rPr>
        <w:t xml:space="preserve"> </w:t>
      </w:r>
    </w:p>
    <w:p w14:paraId="6570CF3D" w14:textId="77777777" w:rsidR="00C445CF" w:rsidRDefault="00DB4137" w:rsidP="004B50A0">
      <w:pPr>
        <w:spacing w:after="40" w:line="259" w:lineRule="auto"/>
        <w:ind w:left="0" w:right="0" w:firstLine="0"/>
        <w:jc w:val="center"/>
      </w:pPr>
      <w:r>
        <w:rPr>
          <w:b/>
          <w:sz w:val="26"/>
        </w:rPr>
        <w:t xml:space="preserve">GYÓGYPEDAGÓGIA </w:t>
      </w:r>
      <w:r>
        <w:rPr>
          <w:b/>
          <w:sz w:val="32"/>
        </w:rPr>
        <w:t>T</w:t>
      </w:r>
      <w:r>
        <w:rPr>
          <w:b/>
          <w:sz w:val="26"/>
        </w:rPr>
        <w:t>ANSZÉK</w:t>
      </w:r>
    </w:p>
    <w:p w14:paraId="33CB52CB" w14:textId="77777777" w:rsidR="00C445CF" w:rsidRDefault="00DB4137">
      <w:pPr>
        <w:spacing w:after="79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1A340459" w14:textId="77777777" w:rsidR="00C445CF" w:rsidRDefault="00DB413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" w:line="259" w:lineRule="auto"/>
        <w:ind w:left="10" w:right="3" w:hanging="10"/>
        <w:jc w:val="center"/>
      </w:pPr>
      <w:r>
        <w:rPr>
          <w:b/>
          <w:sz w:val="28"/>
        </w:rPr>
        <w:t xml:space="preserve">ÚTMUTATÓ  </w:t>
      </w:r>
    </w:p>
    <w:p w14:paraId="58979290" w14:textId="77777777" w:rsidR="00C445CF" w:rsidRDefault="00DB413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" w:right="3" w:hanging="10"/>
        <w:jc w:val="center"/>
      </w:pPr>
      <w:r>
        <w:rPr>
          <w:b/>
          <w:sz w:val="28"/>
        </w:rPr>
        <w:t xml:space="preserve">BA szintű szakdolgozat készítéséhez </w:t>
      </w:r>
    </w:p>
    <w:p w14:paraId="49DE7C0C" w14:textId="77777777" w:rsidR="00C445CF" w:rsidRDefault="00DB4137">
      <w:pPr>
        <w:spacing w:after="14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7749BB1D" w14:textId="77777777" w:rsidR="00C445CF" w:rsidRDefault="00DB4137">
      <w:pPr>
        <w:spacing w:after="155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629C30CF" w14:textId="77777777" w:rsidR="00C445CF" w:rsidRDefault="00DB4137" w:rsidP="004B50A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9" w:line="259" w:lineRule="auto"/>
        <w:ind w:left="0" w:right="0" w:firstLine="0"/>
        <w:jc w:val="left"/>
      </w:pPr>
      <w:r>
        <w:rPr>
          <w:b/>
          <w:sz w:val="28"/>
        </w:rPr>
        <w:t>Érvényes: 2025. 02. 20-tól visszavonásig</w:t>
      </w:r>
      <w:r>
        <w:rPr>
          <w:sz w:val="22"/>
        </w:rPr>
        <w:t xml:space="preserve"> </w:t>
      </w:r>
    </w:p>
    <w:p w14:paraId="0A5AB69A" w14:textId="03389C89" w:rsidR="00C445CF" w:rsidRDefault="00DB4137" w:rsidP="00B8273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51BD622" w14:textId="77777777" w:rsidR="00C445CF" w:rsidRDefault="00DB4137">
      <w:pPr>
        <w:spacing w:after="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E837ECF" w14:textId="2A56F87D" w:rsidR="00C65A26" w:rsidRPr="00C65A26" w:rsidRDefault="00C65A26" w:rsidP="00C65A26">
      <w:pPr>
        <w:spacing w:after="200" w:line="259" w:lineRule="auto"/>
        <w:ind w:left="0" w:right="5" w:firstLine="0"/>
        <w:rPr>
          <w:b/>
          <w:i/>
          <w:sz w:val="28"/>
          <w:szCs w:val="28"/>
        </w:rPr>
      </w:pPr>
      <w:r w:rsidRPr="00C65A26">
        <w:rPr>
          <w:b/>
          <w:i/>
          <w:sz w:val="28"/>
          <w:szCs w:val="28"/>
        </w:rPr>
        <w:t>Témavezetés, témaválasztás</w:t>
      </w:r>
    </w:p>
    <w:p w14:paraId="72DCE1FA" w14:textId="724BBC4B" w:rsidR="00C445CF" w:rsidRDefault="00DB4137" w:rsidP="008833A8">
      <w:pPr>
        <w:spacing w:after="200" w:line="259" w:lineRule="auto"/>
        <w:ind w:left="0" w:right="5" w:firstLine="0"/>
      </w:pPr>
      <w:r w:rsidRPr="00B82738">
        <w:t xml:space="preserve">A tervezett, ill. megtartott konzultációkat a témavezető az erre a célra készült űrlapon igazolja. </w:t>
      </w:r>
      <w:r w:rsidRPr="00E013E8">
        <w:t>Összesen 10 konzultáció elvárt (személyesen, online formában, és/vagy e-mailben együttvéve).</w:t>
      </w:r>
      <w:r w:rsidRPr="00B82738">
        <w:rPr>
          <w:b/>
        </w:rPr>
        <w:t xml:space="preserve"> A hallgatónak a leadási határidő előtt minimum 2 héttel rendelkeznie kell 9 befejezett, a konzulens által már aláírt konzultációval; a leadás előtti utolsó 2 hétben már csak az utolsó, 10. konzultáció lebonyolítására van lehetőség. </w:t>
      </w:r>
    </w:p>
    <w:p w14:paraId="61F7B879" w14:textId="77777777" w:rsidR="00B82738" w:rsidRDefault="00B82738" w:rsidP="00211FD2">
      <w:pPr>
        <w:pStyle w:val="Cmsor1"/>
        <w:spacing w:after="77"/>
        <w:ind w:left="0" w:right="5" w:firstLine="0"/>
      </w:pPr>
      <w:bookmarkStart w:id="0" w:name="_GoBack"/>
      <w:bookmarkEnd w:id="0"/>
    </w:p>
    <w:p w14:paraId="31D2E754" w14:textId="245813AE" w:rsidR="00C445CF" w:rsidRDefault="00DB4137" w:rsidP="00211FD2">
      <w:pPr>
        <w:pStyle w:val="Cmsor1"/>
        <w:spacing w:after="77"/>
        <w:ind w:left="0" w:right="5" w:firstLine="0"/>
      </w:pPr>
      <w:r>
        <w:t xml:space="preserve">A szakdolgozat módszertani követelményei </w:t>
      </w:r>
    </w:p>
    <w:p w14:paraId="03015B0F" w14:textId="77777777" w:rsidR="00C445CF" w:rsidRDefault="00DB4137" w:rsidP="00211FD2">
      <w:pPr>
        <w:spacing w:after="127" w:line="259" w:lineRule="auto"/>
        <w:ind w:left="0" w:right="5" w:firstLine="0"/>
        <w:jc w:val="left"/>
      </w:pPr>
      <w:r>
        <w:rPr>
          <w:b/>
          <w:i/>
          <w:sz w:val="14"/>
        </w:rPr>
        <w:t xml:space="preserve"> </w:t>
      </w:r>
    </w:p>
    <w:p w14:paraId="660F043F" w14:textId="6BD9C582" w:rsidR="00C445CF" w:rsidRDefault="00211FD2" w:rsidP="00211FD2">
      <w:pPr>
        <w:spacing w:after="120" w:line="271" w:lineRule="auto"/>
        <w:ind w:left="0" w:right="5" w:firstLine="0"/>
      </w:pPr>
      <w:r>
        <w:t xml:space="preserve">1. </w:t>
      </w:r>
      <w:r w:rsidR="00DB4137">
        <w:t xml:space="preserve">A szakdolgozat címe, témafelvetése és összegzése között összhangnak kell lennie, amelynek alapján a tartalom egyértelműen azonosítható. (Az olvasó azt találja meg a dolgozatban, ami ezek alapján feltételezhető; lehetőleg csak azt, ill. nem csupán annak egy részét.) </w:t>
      </w:r>
    </w:p>
    <w:p w14:paraId="6922CEC3" w14:textId="012517B1" w:rsidR="00C445CF" w:rsidRDefault="00211FD2" w:rsidP="00211FD2">
      <w:pPr>
        <w:spacing w:after="120" w:line="271" w:lineRule="auto"/>
        <w:ind w:left="0" w:right="5" w:firstLine="0"/>
      </w:pPr>
      <w:r>
        <w:t xml:space="preserve">2. </w:t>
      </w:r>
      <w:r w:rsidR="00DB4137">
        <w:t xml:space="preserve">A megismerési folyamat (a szakdolgozatban felvetett probléma tudományos igényű megközelítése és feltárása) szükség szerint legyen előkészített, megtervezett (konkrét témameghatározás, problémafelvetés, kérdésfelvetés vagy hipotézis, reális célmeghatározás, konkrét szaktudományos előzmények). A használt kulcsfogalmak legyenek egyértelműen definiáltak. (A szerző pontosan </w:t>
      </w:r>
      <w:r w:rsidR="008E77F9">
        <w:t>körülírja</w:t>
      </w:r>
      <w:r w:rsidR="00DB4137">
        <w:t xml:space="preserve">, hogy mi a megfigyelni szándékozott jelenség, hogyan vizsgálta, elemezte azt. Kifejti, hogy az egyes kulcsfogalmak és a vizsgálni kívánt jelenségek milyen viszonyban állnak egymással, valamint hogy a szakdolgozati kutatásra vonatkozóan az adott fogalmat mennyire szűkíti vagy terjeszti ki.) A hallgatótól elvárt, hogy tudjon adott témakörön belül úgy kérdezni, hogy azáltal valamilyen új szempont, újfajta megközelítési mód fogalmazódjon meg. Fontos, hogy a hallgató képes legyen a témához szorosan kapcsolódó, tudományosan elfogadott hazai és nemzetközi szakirodalom feltárására és bemutatására, ill. a kérdései vagy a kérdéseihez kapcsolódó jól formált hipotézisek felállítására. </w:t>
      </w:r>
    </w:p>
    <w:p w14:paraId="7762F291" w14:textId="22DF74CC" w:rsidR="00C445CF" w:rsidRDefault="00211FD2" w:rsidP="00211FD2">
      <w:pPr>
        <w:spacing w:after="120" w:line="271" w:lineRule="auto"/>
        <w:ind w:left="0" w:right="5" w:firstLine="0"/>
      </w:pPr>
      <w:r>
        <w:t xml:space="preserve">3. </w:t>
      </w:r>
      <w:r w:rsidR="00DB4137">
        <w:t xml:space="preserve">A módszertani eljárások kiválasztása, alkalmazása legyen kellően megalapozott. BA szinten a szakdolgozat tartalmazhat esettanulmányt, vagy szűkített mintán történő empirikus kutatást, kvázi elővizsgálatot, vagy egy téma részletes, kritikai (teoretikus, történeti) elemzését, ill. </w:t>
      </w:r>
      <w:r w:rsidR="00DB4137">
        <w:lastRenderedPageBreak/>
        <w:t xml:space="preserve">szakirodalmi feldolgozását. A szakdolgozat szerzője legyen tisztában a felhasznált eszközökben és vizsgálati módszerekben rejlő lehetőségekkel és korlátokkal. (A kiválasztott megfigyelési móddal a jelenség mekkora része rögzíthető, vizsgálható, és milyen torzításokkal? Mit mér, dokumentál a készített, kiválasztott konkrét eszköz?) </w:t>
      </w:r>
    </w:p>
    <w:p w14:paraId="2A009BD0" w14:textId="6394ADAA" w:rsidR="00C445CF" w:rsidRDefault="00211FD2" w:rsidP="00211FD2">
      <w:pPr>
        <w:spacing w:after="120" w:line="271" w:lineRule="auto"/>
        <w:ind w:left="0" w:right="5" w:firstLine="0"/>
      </w:pPr>
      <w:r>
        <w:t xml:space="preserve">4. </w:t>
      </w:r>
      <w:r w:rsidR="00DB4137">
        <w:t xml:space="preserve">Legyen biztosított a megfigyelés, elemzés szakmai kontrolljának lehetősége. (A megismerési folyamat leírása </w:t>
      </w:r>
      <w:r w:rsidR="00DB4137">
        <w:rPr>
          <w:b/>
        </w:rPr>
        <w:t xml:space="preserve">tudományos szempontból kimerítő (teljeskörű) </w:t>
      </w:r>
      <w:r w:rsidR="00DB4137">
        <w:t>legyen, hogy – szükség esetén</w:t>
      </w:r>
      <w:r w:rsidR="00B10FF5">
        <w:t xml:space="preserve"> </w:t>
      </w:r>
      <w:r w:rsidR="00DB4137">
        <w:t xml:space="preserve"> ̶ </w:t>
      </w:r>
      <w:r w:rsidR="00B10FF5">
        <w:t xml:space="preserve"> </w:t>
      </w:r>
      <w:r w:rsidR="00DB4137">
        <w:t>tegye lehetővé a megismételhetőséget is: olyan részletességű tudományos leírás készüljön, mely alapján egy másik kutató el tudja végezni ugyan azt a kísérletet ugyan úgy, és megvizsgálhatj</w:t>
      </w:r>
      <w:r w:rsidR="00B10FF5">
        <w:t>a, hogy valóban azt az eredmény</w:t>
      </w:r>
      <w:r w:rsidR="00DB4137">
        <w:t>t kapja-e, mint az eredeti kutató, vagy attól eltérőt.</w:t>
      </w:r>
      <w:r w:rsidR="00DB4137" w:rsidRPr="00B10FF5">
        <w:rPr>
          <w:color w:val="FF9900"/>
        </w:rPr>
        <w:t xml:space="preserve"> </w:t>
      </w:r>
    </w:p>
    <w:p w14:paraId="74664D35" w14:textId="1BE62028" w:rsidR="00C445CF" w:rsidRDefault="00211FD2" w:rsidP="00211FD2">
      <w:pPr>
        <w:spacing w:after="120" w:line="271" w:lineRule="auto"/>
        <w:ind w:left="0" w:right="5" w:firstLine="0"/>
      </w:pPr>
      <w:r>
        <w:t xml:space="preserve">5. </w:t>
      </w:r>
      <w:r w:rsidR="00DB4137">
        <w:t>A szakdolgozat lényegi elemeit ki kell emelni. Az összesítéseknek, demonstrációknak ért</w:t>
      </w:r>
      <w:r w:rsidR="00B10FF5">
        <w:t xml:space="preserve">hető magyarázatot kell adni. </w:t>
      </w:r>
    </w:p>
    <w:p w14:paraId="13ACD182" w14:textId="00F3F381" w:rsidR="00C445CF" w:rsidRDefault="00211FD2" w:rsidP="00211FD2">
      <w:pPr>
        <w:spacing w:after="120" w:line="271" w:lineRule="auto"/>
        <w:ind w:left="0" w:right="5" w:firstLine="0"/>
      </w:pPr>
      <w:r>
        <w:t xml:space="preserve">6. </w:t>
      </w:r>
      <w:r w:rsidR="00DB4137">
        <w:t xml:space="preserve">A szakdolgozat szakirodalmi hivatkozásait az II. Mellékletben leírtak szerint kell elkészíteni. </w:t>
      </w:r>
    </w:p>
    <w:p w14:paraId="67EE2764" w14:textId="77777777" w:rsidR="00B10FF5" w:rsidRDefault="00B10FF5" w:rsidP="00B10FF5">
      <w:pPr>
        <w:ind w:left="0" w:right="160" w:firstLine="0"/>
      </w:pPr>
    </w:p>
    <w:p w14:paraId="366A05E3" w14:textId="77777777" w:rsidR="00B10FF5" w:rsidRDefault="00B10FF5">
      <w:pPr>
        <w:spacing w:after="160" w:line="259" w:lineRule="auto"/>
        <w:ind w:left="0" w:right="0" w:firstLine="0"/>
        <w:jc w:val="left"/>
        <w:rPr>
          <w:b/>
          <w:i/>
          <w:sz w:val="28"/>
        </w:rPr>
      </w:pPr>
      <w:r>
        <w:br w:type="page"/>
      </w:r>
    </w:p>
    <w:p w14:paraId="1C70B826" w14:textId="5A2EDA23" w:rsidR="00C445CF" w:rsidRDefault="00EA7CC1" w:rsidP="00B10FF5">
      <w:pPr>
        <w:pStyle w:val="Cmsor1"/>
        <w:ind w:left="0"/>
      </w:pPr>
      <w:r>
        <w:lastRenderedPageBreak/>
        <w:t>A szakdolgozat megvalósítható az alábbi módokon:</w:t>
      </w:r>
    </w:p>
    <w:p w14:paraId="3D17E91C" w14:textId="77777777" w:rsidR="00EA7CC1" w:rsidRDefault="00EA7CC1">
      <w:pPr>
        <w:spacing w:after="36" w:line="259" w:lineRule="auto"/>
        <w:ind w:left="0" w:right="0" w:firstLine="0"/>
        <w:jc w:val="left"/>
        <w:rPr>
          <w:color w:val="auto"/>
        </w:rPr>
      </w:pPr>
    </w:p>
    <w:p w14:paraId="2B5545C0" w14:textId="796BF160" w:rsidR="00C445CF" w:rsidRPr="00EA7CC1" w:rsidRDefault="001151BD">
      <w:pPr>
        <w:spacing w:after="36" w:line="259" w:lineRule="auto"/>
        <w:ind w:left="0" w:right="0" w:firstLine="0"/>
        <w:jc w:val="left"/>
        <w:rPr>
          <w:rFonts w:ascii="Roboto" w:hAnsi="Roboto"/>
          <w:color w:val="00B050"/>
        </w:rPr>
      </w:pPr>
      <w:r w:rsidRPr="00EA7CC1">
        <w:rPr>
          <w:rFonts w:ascii="Roboto" w:hAnsi="Roboto"/>
          <w:color w:val="auto"/>
        </w:rPr>
        <w:t>Dolgozat típusú szakdolgozat esetén</w:t>
      </w:r>
    </w:p>
    <w:p w14:paraId="01619638" w14:textId="77777777" w:rsidR="00C445CF" w:rsidRDefault="00DB4137">
      <w:pPr>
        <w:numPr>
          <w:ilvl w:val="0"/>
          <w:numId w:val="3"/>
        </w:numPr>
        <w:spacing w:after="156" w:line="259" w:lineRule="auto"/>
        <w:ind w:right="155" w:hanging="437"/>
      </w:pPr>
      <w:r>
        <w:rPr>
          <w:i/>
        </w:rPr>
        <w:t xml:space="preserve">Saját vizsgálaton alapuló empirikus jellegű munka </w:t>
      </w:r>
    </w:p>
    <w:p w14:paraId="1DBF14EC" w14:textId="029DA445" w:rsidR="00C445CF" w:rsidRDefault="00DB4137" w:rsidP="00EA7CC1">
      <w:pPr>
        <w:spacing w:after="20"/>
        <w:ind w:left="154" w:right="160"/>
      </w:pPr>
      <w:r>
        <w:t xml:space="preserve">Gyógypedagógiai, pedagógiai, szociológiai, pszichológiai, vagy más jellegű méréseket tartalmaz, feldolgozva a szakirodalomban fellelhető előzményeket is. Típusa helyzetfelmérés, tudásszint vizsgálat, képességmérés, teszt standardizálásában való részvétel, pedagógiai kísérlet, hatásvizsgálat, csoportok összehasonlítása, státusvizsgálat, dokumentumelemzés, tartalomelemzés, kérdőíves, interjús vizsgálat stb. – szűkített mintán, elővizsgálat szerűen. </w:t>
      </w:r>
    </w:p>
    <w:p w14:paraId="74B3A74E" w14:textId="77777777" w:rsidR="00EA7CC1" w:rsidRDefault="00EA7CC1" w:rsidP="00EA7CC1">
      <w:pPr>
        <w:spacing w:after="20"/>
        <w:ind w:left="154" w:right="160"/>
      </w:pPr>
    </w:p>
    <w:p w14:paraId="46926AAD" w14:textId="77777777" w:rsidR="00C445CF" w:rsidRDefault="00DB4137">
      <w:pPr>
        <w:numPr>
          <w:ilvl w:val="0"/>
          <w:numId w:val="3"/>
        </w:numPr>
        <w:spacing w:after="201" w:line="259" w:lineRule="auto"/>
        <w:ind w:right="155" w:hanging="437"/>
      </w:pPr>
      <w:r>
        <w:rPr>
          <w:i/>
        </w:rPr>
        <w:t xml:space="preserve">Esettanulmány </w:t>
      </w:r>
    </w:p>
    <w:p w14:paraId="7A13553C" w14:textId="77777777" w:rsidR="00C445CF" w:rsidRDefault="00DB4137">
      <w:pPr>
        <w:ind w:left="154" w:right="160"/>
      </w:pPr>
      <w:r>
        <w:t xml:space="preserve">Alapját konkrét ̶ saját tapasztalatú – eset képezi, amelyet (megkülönböztetendő az esetleírás műfajától) </w:t>
      </w:r>
      <w:r>
        <w:rPr>
          <w:b/>
        </w:rPr>
        <w:t>átfogó természettudományi és/vagy társadalomtudományi össze</w:t>
      </w:r>
      <w:r w:rsidR="00A752D8">
        <w:rPr>
          <w:b/>
        </w:rPr>
        <w:t xml:space="preserve">függéseket értelmező-magyarázó szemlélettel </w:t>
      </w:r>
      <w:r w:rsidR="00A752D8">
        <w:t xml:space="preserve">elemez a hallgató. A gyakran </w:t>
      </w:r>
      <w:r>
        <w:t xml:space="preserve">választott, gyógypedagógiai fejlesztést bemutató esettanulmányoknál kiemelt szempontok: a vizsgálati és foglalkozási módszerek kiválasztása, az eljárások bemutatása, a fejlesztés időtartamának pontos megjelölése, a biológiai, pszichológiai és környezeti háttér feltárása, stb.). </w:t>
      </w:r>
    </w:p>
    <w:p w14:paraId="52B9D3FC" w14:textId="77777777" w:rsidR="00C445CF" w:rsidRDefault="00DB4137">
      <w:pPr>
        <w:spacing w:after="181"/>
        <w:ind w:left="151" w:right="160" w:firstLine="706"/>
      </w:pPr>
      <w:r>
        <w:t xml:space="preserve">Tartalmazhatja az eset kapcsán felvetődő szakmatörténeti, -elméleti vonatkozásokat és az esettanulmány készítőjére ható szubjektív tényezőket is, melyek szakszerű, szupervízió keretében zajló feldolgozással kerülhetnek ismertetésre. Ennél a szakdolgozati típusnál is követelmény: </w:t>
      </w:r>
    </w:p>
    <w:p w14:paraId="3E0647AF" w14:textId="77777777" w:rsidR="00C445CF" w:rsidRDefault="00DB4137">
      <w:pPr>
        <w:numPr>
          <w:ilvl w:val="0"/>
          <w:numId w:val="4"/>
        </w:numPr>
        <w:spacing w:after="154"/>
        <w:ind w:left="948" w:right="160" w:hanging="797"/>
      </w:pPr>
      <w:r>
        <w:t xml:space="preserve">a szakirodalom hasonló tárgyú tapasztalataira történő hivatkozás; </w:t>
      </w:r>
    </w:p>
    <w:p w14:paraId="11F8D5F3" w14:textId="77777777" w:rsidR="00C445CF" w:rsidRDefault="00DB4137">
      <w:pPr>
        <w:numPr>
          <w:ilvl w:val="0"/>
          <w:numId w:val="4"/>
        </w:numPr>
        <w:spacing w:after="14"/>
        <w:ind w:left="948" w:right="160" w:hanging="797"/>
      </w:pPr>
      <w:r>
        <w:t xml:space="preserve">az adott esettel kapcsolatos források, adatok pontos megnevezése, a személyek anonimitásának megőrzése mellett; </w:t>
      </w:r>
    </w:p>
    <w:p w14:paraId="123488CC" w14:textId="77777777" w:rsidR="00C445CF" w:rsidRDefault="00DB4137">
      <w:pPr>
        <w:numPr>
          <w:ilvl w:val="0"/>
          <w:numId w:val="4"/>
        </w:numPr>
        <w:ind w:left="948" w:right="160" w:hanging="797"/>
      </w:pPr>
      <w:r>
        <w:t xml:space="preserve">előre meghatározott szempontok alapján készített megfigyelési jegyzőkönyv (ill. más regisztráló dokumentum) folyamatos vezetése; </w:t>
      </w:r>
    </w:p>
    <w:p w14:paraId="0470B276" w14:textId="77777777" w:rsidR="00C445CF" w:rsidRDefault="00A752D8">
      <w:pPr>
        <w:numPr>
          <w:ilvl w:val="0"/>
          <w:numId w:val="4"/>
        </w:numPr>
        <w:spacing w:after="5"/>
        <w:ind w:left="948" w:right="160" w:hanging="797"/>
      </w:pPr>
      <w:r>
        <w:t xml:space="preserve">a </w:t>
      </w:r>
      <w:r w:rsidR="00DB4137">
        <w:t xml:space="preserve">változás/hatás/folyamat megítélése. </w:t>
      </w:r>
    </w:p>
    <w:p w14:paraId="727AFCC1" w14:textId="77777777" w:rsidR="00C445CF" w:rsidRDefault="00DB4137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733F788A" w14:textId="3301A227" w:rsidR="00C445CF" w:rsidRPr="00EA7CC1" w:rsidRDefault="00EA7CC1">
      <w:pPr>
        <w:spacing w:after="63" w:line="259" w:lineRule="auto"/>
        <w:ind w:left="10" w:right="155" w:hanging="10"/>
        <w:rPr>
          <w:rFonts w:ascii="Roboto" w:hAnsi="Roboto"/>
        </w:rPr>
      </w:pPr>
      <w:r w:rsidRPr="00EA7CC1">
        <w:rPr>
          <w:rFonts w:ascii="Roboto" w:hAnsi="Roboto"/>
        </w:rPr>
        <w:t>Pu</w:t>
      </w:r>
      <w:r w:rsidR="00DB4137" w:rsidRPr="00EA7CC1">
        <w:rPr>
          <w:rFonts w:ascii="Roboto" w:hAnsi="Roboto"/>
        </w:rPr>
        <w:t xml:space="preserve">blikáció </w:t>
      </w:r>
      <w:r w:rsidRPr="00EA7CC1">
        <w:rPr>
          <w:rFonts w:ascii="Roboto" w:hAnsi="Roboto"/>
        </w:rPr>
        <w:t>típusú</w:t>
      </w:r>
      <w:r w:rsidR="004B0552">
        <w:rPr>
          <w:rFonts w:ascii="Roboto" w:hAnsi="Roboto"/>
        </w:rPr>
        <w:t xml:space="preserve"> dolgozat esetén</w:t>
      </w:r>
    </w:p>
    <w:p w14:paraId="65002CDC" w14:textId="673D7391" w:rsidR="00C445CF" w:rsidRDefault="00DB4137">
      <w:pPr>
        <w:spacing w:after="144"/>
        <w:ind w:left="3" w:right="3"/>
      </w:pPr>
      <w:r>
        <w:t>Egyes esetekben a hallgató kiválthatja a szakdolgozat megírását, ha a szakdolgozat leadási határidejéig megfelelő minősítettségű hazai vagy külföldi szaklapban tanulmányt jelentet meg. Fontos, hogy a tanulmánynak a szakdolgozat leadási határidejéig meg is kell jelennie! Ugyaneddig a tanszéki példány leadásra, a könyvtári rendszerbe pedig feltöltésre kell, hogy kerüljön. (Lásd a TVSZ és a Kari Záróvizsga Szabályzat id</w:t>
      </w:r>
      <w:r w:rsidR="00A752D8">
        <w:t xml:space="preserve">e vonatkozó rendelkezéseit!) </w:t>
      </w:r>
    </w:p>
    <w:p w14:paraId="52C5CEF5" w14:textId="77777777" w:rsidR="00C445CF" w:rsidRDefault="00DB4137" w:rsidP="00A752D8">
      <w:pPr>
        <w:spacing w:after="120" w:line="259" w:lineRule="auto"/>
        <w:ind w:left="0" w:right="0" w:firstLine="0"/>
        <w:jc w:val="left"/>
      </w:pPr>
      <w:r>
        <w:t xml:space="preserve"> </w:t>
      </w:r>
    </w:p>
    <w:p w14:paraId="09A18172" w14:textId="77777777" w:rsidR="00C445CF" w:rsidRDefault="00DB4137">
      <w:pPr>
        <w:pStyle w:val="Cmsor1"/>
        <w:ind w:left="326"/>
      </w:pPr>
      <w:r>
        <w:t xml:space="preserve">A szakdolgozat terjedelmi és formai kritériumai </w:t>
      </w:r>
    </w:p>
    <w:p w14:paraId="13EFB03C" w14:textId="77777777" w:rsidR="00C445CF" w:rsidRDefault="00DB4137">
      <w:pPr>
        <w:spacing w:after="41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D489BA7" w14:textId="77777777" w:rsidR="00C445CF" w:rsidRDefault="00DB4137">
      <w:pPr>
        <w:ind w:left="154" w:right="160"/>
      </w:pPr>
      <w:r>
        <w:t xml:space="preserve">A BA képzésben alkotott szakdolgozat minimális terjedelme 40 oldal a lentebbi betűméret, sorköz és sorbeállítások figyelembevételével. A maximális terjedelem 100 oldal. A </w:t>
      </w:r>
      <w:r>
        <w:lastRenderedPageBreak/>
        <w:t xml:space="preserve">terjedelmi határok mellékletek nélkül értendők. A maximális terjedelem tekintetében pozitív irányban csak nagyon indokolt esetben, a konzulens előzetes jóváhagyásával lehet eltérni. </w:t>
      </w:r>
    </w:p>
    <w:p w14:paraId="158835CE" w14:textId="77777777" w:rsidR="00C445CF" w:rsidRDefault="00DB4137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2584D51D" w14:textId="77777777" w:rsidR="00C445CF" w:rsidRDefault="00DB4137" w:rsidP="00A752D8">
      <w:pPr>
        <w:spacing w:after="5"/>
        <w:ind w:left="154" w:right="160"/>
      </w:pPr>
      <w:r>
        <w:t xml:space="preserve">Formai követelmények: </w:t>
      </w:r>
    </w:p>
    <w:p w14:paraId="73F072A1" w14:textId="77777777" w:rsidR="00A752D8" w:rsidRDefault="00A752D8" w:rsidP="00A752D8">
      <w:pPr>
        <w:spacing w:after="5"/>
        <w:ind w:left="154" w:right="160"/>
      </w:pPr>
    </w:p>
    <w:p w14:paraId="6A6A740F" w14:textId="77777777" w:rsidR="00C445CF" w:rsidRDefault="00DB4137">
      <w:pPr>
        <w:spacing w:after="193"/>
        <w:ind w:left="154" w:right="160"/>
      </w:pPr>
      <w:r>
        <w:t xml:space="preserve">Egyoldalas nyomtatás kötelező (a lapok hátoldala üres legyen)! </w:t>
      </w:r>
    </w:p>
    <w:p w14:paraId="10F3611B" w14:textId="77777777" w:rsidR="00C445CF" w:rsidRDefault="00DB4137">
      <w:pPr>
        <w:spacing w:after="145"/>
        <w:ind w:left="154" w:right="160"/>
      </w:pPr>
      <w:r>
        <w:t xml:space="preserve">Tartalomjegyzék </w:t>
      </w:r>
    </w:p>
    <w:p w14:paraId="63E113BC" w14:textId="77777777" w:rsidR="00C445CF" w:rsidRDefault="00DB4137">
      <w:pPr>
        <w:ind w:left="154" w:right="160"/>
      </w:pPr>
      <w:r>
        <w:t xml:space="preserve">Készítéséhez így foghatnak hozzá: (Word program &gt;&gt; Hivatkozás fül &gt;&gt; </w:t>
      </w:r>
    </w:p>
    <w:p w14:paraId="4CBF05B6" w14:textId="77777777" w:rsidR="00C445CF" w:rsidRDefault="00A752D8">
      <w:pPr>
        <w:ind w:left="154" w:right="160"/>
      </w:pPr>
      <w:r>
        <w:t>Tartalomjegyzék készítés)</w:t>
      </w:r>
    </w:p>
    <w:p w14:paraId="574AFEF7" w14:textId="77777777" w:rsidR="00C445CF" w:rsidRDefault="00DB4137">
      <w:pPr>
        <w:spacing w:after="287" w:line="259" w:lineRule="auto"/>
        <w:ind w:left="166" w:right="0" w:firstLine="0"/>
        <w:jc w:val="left"/>
      </w:pPr>
      <w:r>
        <w:rPr>
          <w:sz w:val="14"/>
        </w:rPr>
        <w:t xml:space="preserve"> </w:t>
      </w:r>
    </w:p>
    <w:p w14:paraId="7324407D" w14:textId="77777777" w:rsidR="00C445CF" w:rsidRDefault="00A752D8">
      <w:pPr>
        <w:ind w:left="154" w:right="160"/>
      </w:pPr>
      <w:r>
        <w:t>Betű</w:t>
      </w:r>
      <w:r w:rsidR="00DB4137">
        <w:t xml:space="preserve">típus, méret: Times New Roman 12-es betűméret </w:t>
      </w:r>
    </w:p>
    <w:p w14:paraId="50CAF7CA" w14:textId="77777777" w:rsidR="00C445CF" w:rsidRDefault="00DB4137">
      <w:pPr>
        <w:spacing w:after="8"/>
        <w:ind w:left="154" w:right="160"/>
      </w:pPr>
      <w:r>
        <w:t xml:space="preserve">Bekezdések: sorkizárt forma, 1,5 (másfeles) sorköz </w:t>
      </w:r>
    </w:p>
    <w:p w14:paraId="1590EE4E" w14:textId="77777777" w:rsidR="00C445CF" w:rsidRDefault="00DB4137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7412EBB7" w14:textId="77777777" w:rsidR="00C445CF" w:rsidRDefault="00DB4137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14E9D354" w14:textId="77777777" w:rsidR="00C445CF" w:rsidRDefault="00DB4137">
      <w:pPr>
        <w:spacing w:after="188"/>
        <w:ind w:left="154" w:right="160"/>
      </w:pPr>
      <w:r>
        <w:t xml:space="preserve">A fő fejezetcímek betűmérete lehet 14-es és félkövér. </w:t>
      </w:r>
    </w:p>
    <w:p w14:paraId="695CFD21" w14:textId="77777777" w:rsidR="00C445CF" w:rsidRDefault="00DB4137">
      <w:pPr>
        <w:spacing w:after="183"/>
        <w:ind w:left="154" w:right="1262"/>
      </w:pPr>
      <w:r>
        <w:t xml:space="preserve">A szövegben </w:t>
      </w:r>
      <w:r>
        <w:rPr>
          <w:i/>
        </w:rPr>
        <w:t>dőlt betűvel</w:t>
      </w:r>
      <w:r>
        <w:t xml:space="preserve"> vagy </w:t>
      </w:r>
      <w:r>
        <w:rPr>
          <w:b/>
        </w:rPr>
        <w:t>félkövér betűvel</w:t>
      </w:r>
      <w:r>
        <w:t xml:space="preserve"> lehet kiemeléseket végezni.  </w:t>
      </w:r>
    </w:p>
    <w:p w14:paraId="2F67BCFF" w14:textId="77777777" w:rsidR="00C445CF" w:rsidRDefault="00DB4137">
      <w:pPr>
        <w:ind w:left="154" w:right="160"/>
      </w:pPr>
      <w:r>
        <w:t xml:space="preserve">További követelmények: </w:t>
      </w:r>
    </w:p>
    <w:p w14:paraId="39CA4C97" w14:textId="77777777" w:rsidR="00C445CF" w:rsidRDefault="00DB4137">
      <w:pPr>
        <w:numPr>
          <w:ilvl w:val="0"/>
          <w:numId w:val="5"/>
        </w:numPr>
        <w:ind w:left="872" w:right="160" w:hanging="346"/>
      </w:pPr>
      <w:r>
        <w:t xml:space="preserve">kerülni kell az ún. fattyú (jórészt üres) oldalakat: minden oldal legalább 75%-os megtöltése kötelező! </w:t>
      </w:r>
    </w:p>
    <w:p w14:paraId="20E92169" w14:textId="77777777" w:rsidR="00C445CF" w:rsidRDefault="00DB4137">
      <w:pPr>
        <w:numPr>
          <w:ilvl w:val="0"/>
          <w:numId w:val="5"/>
        </w:numPr>
        <w:ind w:left="872" w:right="160" w:hanging="346"/>
      </w:pPr>
      <w:r>
        <w:t xml:space="preserve">az oldalszámozás ott kezdődjön, ahol maga a szakdolgozat szövege (az előtte lévő oldalak nem kerülnek számozásra!) </w:t>
      </w:r>
    </w:p>
    <w:p w14:paraId="2AB389D8" w14:textId="77777777" w:rsidR="00C445CF" w:rsidRDefault="00DB4137">
      <w:pPr>
        <w:numPr>
          <w:ilvl w:val="0"/>
          <w:numId w:val="5"/>
        </w:numPr>
        <w:spacing w:after="33" w:line="289" w:lineRule="auto"/>
        <w:ind w:left="872" w:right="160" w:hanging="346"/>
      </w:pPr>
      <w:r>
        <w:t xml:space="preserve">ábrák, diagramok, táblázatok mérete: fontos a jó olvashatóság, de kerülni kell a feleslegesen nagy formátumú megjelenítést. Csak a legfontosabb ábrák, diagramok, táblázatok kerüljenek a törzsszövegbe, a többi a mellékletben feltüntethető. </w:t>
      </w:r>
    </w:p>
    <w:p w14:paraId="44BBEEFF" w14:textId="77777777" w:rsidR="00C445CF" w:rsidRDefault="00DB4137">
      <w:pPr>
        <w:numPr>
          <w:ilvl w:val="0"/>
          <w:numId w:val="5"/>
        </w:numPr>
        <w:ind w:left="872" w:right="160" w:hanging="346"/>
      </w:pPr>
      <w:r>
        <w:t xml:space="preserve">Ábrák, diagramok, táblázatok számozása: Minden ábrát, diagramot, táblázatot számozni kell, a címet és a forrást is jelölni kell. A jelölés Times New Roman 10es betűmérettel történjen az ábra, diagram, táblázat alatt. Ábrák esetén azok számát, címe az ábra ALATT kell feltüntetni. Táblázatok esetén azok számát, címét pedig a táblázat FELETT kell megjeleníteni. </w:t>
      </w:r>
    </w:p>
    <w:p w14:paraId="78CC8A12" w14:textId="77777777" w:rsidR="00C445CF" w:rsidRDefault="00DB4137">
      <w:pPr>
        <w:numPr>
          <w:ilvl w:val="0"/>
          <w:numId w:val="5"/>
        </w:numPr>
        <w:ind w:left="872" w:right="160" w:hanging="346"/>
      </w:pPr>
      <w:r>
        <w:t xml:space="preserve">Egy fejezet nem érhet véget ábrával, diagrammal, táblázattal. Követelmény, hogy ezeket a szemléltető eszközöket szöveg ölelje körbe. </w:t>
      </w:r>
    </w:p>
    <w:p w14:paraId="59D9C1C9" w14:textId="77777777" w:rsidR="00C445CF" w:rsidRDefault="00DB4137" w:rsidP="00211FD2">
      <w:pPr>
        <w:numPr>
          <w:ilvl w:val="0"/>
          <w:numId w:val="5"/>
        </w:numPr>
        <w:spacing w:after="150"/>
        <w:ind w:left="872" w:right="5" w:hanging="346"/>
      </w:pPr>
      <w:r>
        <w:t xml:space="preserve">A hivatkozások egységesek legyenek a teljes szakdolgozatban (lásd I. Melléklet) </w:t>
      </w:r>
    </w:p>
    <w:p w14:paraId="11EC0F91" w14:textId="77777777" w:rsidR="00C445CF" w:rsidRDefault="00DB4137">
      <w:pPr>
        <w:spacing w:after="72" w:line="259" w:lineRule="auto"/>
        <w:ind w:left="0" w:right="0" w:firstLine="0"/>
        <w:jc w:val="left"/>
      </w:pPr>
      <w:r>
        <w:t xml:space="preserve"> </w:t>
      </w:r>
    </w:p>
    <w:p w14:paraId="24F6BCC5" w14:textId="77777777" w:rsidR="00C445CF" w:rsidRDefault="00DB4137">
      <w:pPr>
        <w:spacing w:after="200" w:line="259" w:lineRule="auto"/>
        <w:ind w:left="161" w:right="150" w:hanging="10"/>
      </w:pPr>
      <w:r>
        <w:rPr>
          <w:b/>
        </w:rPr>
        <w:t xml:space="preserve">Részletes tájékoztató itt található: </w:t>
      </w:r>
    </w:p>
    <w:p w14:paraId="28B4892A" w14:textId="77777777" w:rsidR="00C445CF" w:rsidRDefault="00C90FC0">
      <w:pPr>
        <w:spacing w:after="158" w:line="259" w:lineRule="auto"/>
        <w:ind w:left="166" w:right="0" w:firstLine="0"/>
        <w:jc w:val="left"/>
      </w:pPr>
      <w:hyperlink r:id="rId8">
        <w:r w:rsidR="00DB4137">
          <w:rPr>
            <w:color w:val="1155CC"/>
            <w:u w:val="single" w:color="1155CC"/>
          </w:rPr>
          <w:t>Letölthető dokumentumok (szakdolgozat/diplomamunka és zv)</w:t>
        </w:r>
      </w:hyperlink>
      <w:hyperlink r:id="rId9">
        <w:r w:rsidR="00DB4137">
          <w:t xml:space="preserve"> </w:t>
        </w:r>
      </w:hyperlink>
    </w:p>
    <w:p w14:paraId="30FEE18E" w14:textId="77777777" w:rsidR="00C445CF" w:rsidRDefault="00DB4137">
      <w:pPr>
        <w:spacing w:after="41" w:line="259" w:lineRule="auto"/>
        <w:ind w:left="166" w:right="0" w:firstLine="0"/>
        <w:jc w:val="left"/>
      </w:pPr>
      <w:r>
        <w:t xml:space="preserve"> </w:t>
      </w:r>
    </w:p>
    <w:p w14:paraId="56616764" w14:textId="3BBFD5B2" w:rsidR="00C445CF" w:rsidRDefault="00C445CF">
      <w:pPr>
        <w:spacing w:after="118" w:line="259" w:lineRule="auto"/>
        <w:ind w:left="0" w:right="0" w:firstLine="0"/>
        <w:jc w:val="left"/>
      </w:pPr>
    </w:p>
    <w:p w14:paraId="5DEBF6A6" w14:textId="77777777" w:rsidR="00C445CF" w:rsidRDefault="00C445CF">
      <w:pPr>
        <w:sectPr w:rsidR="00C445CF" w:rsidSect="00B10FF5">
          <w:footerReference w:type="even" r:id="rId10"/>
          <w:footerReference w:type="default" r:id="rId11"/>
          <w:footerReference w:type="first" r:id="rId12"/>
          <w:pgSz w:w="11911" w:h="16841"/>
          <w:pgMar w:top="1417" w:right="1417" w:bottom="1417" w:left="1417" w:header="708" w:footer="708" w:gutter="0"/>
          <w:cols w:space="708"/>
          <w:titlePg/>
          <w:docGrid w:linePitch="326"/>
        </w:sectPr>
      </w:pPr>
    </w:p>
    <w:p w14:paraId="10C61847" w14:textId="2EBCBAB6" w:rsidR="00C445CF" w:rsidRDefault="00DB4137" w:rsidP="00211FD2">
      <w:pPr>
        <w:spacing w:after="276" w:line="259" w:lineRule="auto"/>
        <w:ind w:left="326" w:right="0" w:hanging="10"/>
        <w:jc w:val="left"/>
      </w:pPr>
      <w:r>
        <w:rPr>
          <w:b/>
          <w:sz w:val="28"/>
        </w:rPr>
        <w:lastRenderedPageBreak/>
        <w:t xml:space="preserve">Melléklet I. </w:t>
      </w:r>
    </w:p>
    <w:p w14:paraId="1A9E108C" w14:textId="77777777" w:rsidR="00C445CF" w:rsidRDefault="00DB4137">
      <w:pPr>
        <w:pStyle w:val="Cmsor1"/>
        <w:spacing w:after="257"/>
        <w:ind w:left="326"/>
      </w:pPr>
      <w:r>
        <w:t xml:space="preserve">Segédlet a szakdolgozat szakirodalmi hivatkozásainak elkészítéséhez </w:t>
      </w:r>
    </w:p>
    <w:p w14:paraId="3CED798A" w14:textId="77777777" w:rsidR="00C445CF" w:rsidRDefault="00DB4137">
      <w:pPr>
        <w:spacing w:after="0" w:line="259" w:lineRule="auto"/>
        <w:ind w:left="0" w:right="0" w:firstLine="0"/>
        <w:jc w:val="left"/>
      </w:pPr>
      <w:r>
        <w:rPr>
          <w:b/>
          <w:i/>
          <w:sz w:val="28"/>
        </w:rPr>
        <w:t xml:space="preserve"> </w:t>
      </w:r>
    </w:p>
    <w:p w14:paraId="7D5C8330" w14:textId="77777777" w:rsidR="00C445CF" w:rsidRDefault="00DB4137">
      <w:pPr>
        <w:spacing w:after="149"/>
        <w:ind w:left="154" w:right="160"/>
      </w:pPr>
      <w:r>
        <w:t xml:space="preserve">Ez a melléklet a szakdolgozat írásához szükséges alapvető bibliográfiai követelményeket tartalmazza. A segédletben az American Psychological Association (APA) hivatkozási rendszerének legújabb verziója alapján történő hivatkozási elemek találhatók meg. A hallgató a témavezető irányítása mellett, az alábbiakban meghatározottak szerint készíti el a szakdolgozat irodalmi hivatkozásait, melyet a dolgozat teljes terjedelmében alkalmazni köteles. </w:t>
      </w:r>
    </w:p>
    <w:p w14:paraId="6121C365" w14:textId="77777777" w:rsidR="00C445CF" w:rsidRDefault="00DB4137">
      <w:pPr>
        <w:spacing w:after="72" w:line="259" w:lineRule="auto"/>
        <w:ind w:left="0" w:right="0" w:firstLine="0"/>
        <w:jc w:val="left"/>
      </w:pPr>
      <w:r>
        <w:t xml:space="preserve"> </w:t>
      </w:r>
    </w:p>
    <w:p w14:paraId="499A152A" w14:textId="1C9F61FA" w:rsidR="00C445CF" w:rsidRDefault="00DB4137" w:rsidP="00211FD2">
      <w:pPr>
        <w:spacing w:after="270" w:line="259" w:lineRule="auto"/>
        <w:ind w:left="341" w:right="150" w:hanging="10"/>
      </w:pPr>
      <w:r>
        <w:rPr>
          <w:b/>
        </w:rPr>
        <w:t xml:space="preserve">Általános tudnivalók az egyes bibliográfiai adatokról: </w:t>
      </w:r>
    </w:p>
    <w:p w14:paraId="372AC280" w14:textId="77777777" w:rsidR="00C445CF" w:rsidRDefault="00DB4137">
      <w:pPr>
        <w:spacing w:after="200" w:line="259" w:lineRule="auto"/>
        <w:ind w:left="161" w:right="0" w:hanging="10"/>
        <w:jc w:val="left"/>
      </w:pPr>
      <w:r>
        <w:rPr>
          <w:u w:val="single" w:color="000000"/>
        </w:rPr>
        <w:t>Szerző</w:t>
      </w:r>
      <w:r>
        <w:t xml:space="preserve"> </w:t>
      </w:r>
    </w:p>
    <w:p w14:paraId="7E7484F5" w14:textId="77777777" w:rsidR="00C445CF" w:rsidRDefault="00DB4137">
      <w:pPr>
        <w:spacing w:after="136"/>
        <w:ind w:left="154" w:right="160"/>
      </w:pPr>
      <w:r>
        <w:t xml:space="preserve">A szerzői név első adata a családnév, ezt az egyéni név kezdőbetűje követi. Nem magyar szerző esetében a családnevet az egyéni név kezdőbetűjétől vesszővel kell elválasztani. A nevekhez kapcsolt tudományos fokozatok, címek elhagyandók. </w:t>
      </w:r>
      <w:r>
        <w:rPr>
          <w:u w:val="single" w:color="000000"/>
        </w:rPr>
        <w:t>Évszám</w:t>
      </w:r>
      <w:r>
        <w:t xml:space="preserve"> </w:t>
      </w:r>
    </w:p>
    <w:p w14:paraId="571DB0C0" w14:textId="77777777" w:rsidR="00C445CF" w:rsidRDefault="00DB4137">
      <w:pPr>
        <w:ind w:left="154" w:right="2420"/>
      </w:pPr>
      <w:r>
        <w:t xml:space="preserve">A dokumentum megjelenési éve, melyet arab számmal kell leírni. </w:t>
      </w:r>
      <w:r>
        <w:rPr>
          <w:u w:val="single" w:color="000000"/>
        </w:rPr>
        <w:t>Cím</w:t>
      </w:r>
      <w:r>
        <w:t xml:space="preserve"> </w:t>
      </w:r>
    </w:p>
    <w:p w14:paraId="2912986F" w14:textId="77777777" w:rsidR="00C445CF" w:rsidRDefault="00DB4137">
      <w:pPr>
        <w:spacing w:after="113" w:line="289" w:lineRule="auto"/>
        <w:ind w:left="161" w:right="231" w:hanging="10"/>
        <w:jc w:val="left"/>
      </w:pPr>
      <w:r>
        <w:t xml:space="preserve">A könyvek címét, folyóiratok címét és évfolyamát, illetve a webes dokumentumok címét dőlt betűvel írjuk. Az alcím feltüntetése nem kötelező. </w:t>
      </w:r>
      <w:r>
        <w:rPr>
          <w:u w:val="single" w:color="000000"/>
        </w:rPr>
        <w:t>Kiadás</w:t>
      </w:r>
      <w:r>
        <w:t xml:space="preserve"> </w:t>
      </w:r>
    </w:p>
    <w:p w14:paraId="496E9644" w14:textId="77777777" w:rsidR="00C445CF" w:rsidRDefault="00DB4137">
      <w:pPr>
        <w:ind w:left="154" w:right="160"/>
      </w:pPr>
      <w:r>
        <w:t xml:space="preserve">Az első kiadást nem kell feltüntetni, csak a további ill. bővített stb. kiadásokat. Pl. 2. kiad., </w:t>
      </w:r>
    </w:p>
    <w:p w14:paraId="32879488" w14:textId="77777777" w:rsidR="00C445CF" w:rsidRDefault="00DB4137">
      <w:pPr>
        <w:ind w:left="154" w:right="160"/>
      </w:pPr>
      <w:r>
        <w:t xml:space="preserve">Átdolgozott kiad. </w:t>
      </w:r>
    </w:p>
    <w:p w14:paraId="1659F97B" w14:textId="77777777" w:rsidR="00C445CF" w:rsidRDefault="00DB4137">
      <w:pPr>
        <w:spacing w:after="156" w:line="259" w:lineRule="auto"/>
        <w:ind w:left="161" w:right="0" w:hanging="10"/>
        <w:jc w:val="left"/>
      </w:pPr>
      <w:r>
        <w:rPr>
          <w:u w:val="single" w:color="000000"/>
        </w:rPr>
        <w:t>Megjelenési adatok</w:t>
      </w:r>
      <w:r>
        <w:t xml:space="preserve"> </w:t>
      </w:r>
    </w:p>
    <w:p w14:paraId="14C48F85" w14:textId="77777777" w:rsidR="00C445CF" w:rsidRDefault="00DB4137">
      <w:pPr>
        <w:spacing w:after="139"/>
        <w:ind w:left="154" w:right="160"/>
      </w:pPr>
      <w:r>
        <w:t xml:space="preserve">Ha nem állapítható meg egy adat, a következő módon jelöljük: h. n. (hely nélkül), k. n. (kiadó nélkül), d. n. (dátum nélkül). </w:t>
      </w:r>
    </w:p>
    <w:p w14:paraId="53C29EC2" w14:textId="77777777" w:rsidR="00C445CF" w:rsidRDefault="00DB4137">
      <w:pPr>
        <w:spacing w:after="67" w:line="259" w:lineRule="auto"/>
        <w:ind w:left="0" w:right="0" w:firstLine="0"/>
        <w:jc w:val="left"/>
      </w:pPr>
      <w:r>
        <w:t xml:space="preserve"> </w:t>
      </w:r>
    </w:p>
    <w:p w14:paraId="6C515037" w14:textId="77777777" w:rsidR="00C445CF" w:rsidRDefault="00DB4137">
      <w:pPr>
        <w:ind w:left="886" w:right="160" w:hanging="36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Hivatkozás: </w:t>
      </w:r>
      <w:r>
        <w:t xml:space="preserve">ha más művéből </w:t>
      </w:r>
      <w:r>
        <w:rPr>
          <w:b/>
        </w:rPr>
        <w:t xml:space="preserve">nem szó szerint </w:t>
      </w:r>
      <w:r>
        <w:t>veszünk át egy gondolatot. Az eredeti mű adatait az egyszerű hivatkozások esetében is meg kell adni. A szövegben a szerző(k) neve és a dátum szerepel, a felhasznált irodalomjegyzékben a mű címe és megjelenési helye is (lásd alább).</w:t>
      </w:r>
    </w:p>
    <w:p w14:paraId="067F42B9" w14:textId="77777777" w:rsidR="00C445CF" w:rsidRDefault="00DB4137">
      <w:pPr>
        <w:spacing w:after="189"/>
        <w:ind w:left="877" w:right="160"/>
      </w:pPr>
      <w:r>
        <w:t xml:space="preserve">PÉLDÁK: </w:t>
      </w:r>
    </w:p>
    <w:p w14:paraId="5B2F66AE" w14:textId="77777777" w:rsidR="00C445CF" w:rsidRDefault="00DB4137">
      <w:pPr>
        <w:spacing w:after="201" w:line="259" w:lineRule="auto"/>
        <w:ind w:left="869" w:right="155" w:hanging="10"/>
      </w:pPr>
      <w:r>
        <w:rPr>
          <w:i/>
        </w:rPr>
        <w:t xml:space="preserve">Szövegben egy szerző esetében: </w:t>
      </w:r>
    </w:p>
    <w:p w14:paraId="4483193F" w14:textId="77777777" w:rsidR="00C445CF" w:rsidRDefault="00DB4137">
      <w:pPr>
        <w:numPr>
          <w:ilvl w:val="0"/>
          <w:numId w:val="8"/>
        </w:numPr>
        <w:spacing w:after="154" w:line="259" w:lineRule="auto"/>
        <w:ind w:right="155" w:hanging="180"/>
      </w:pPr>
      <w:r>
        <w:rPr>
          <w:i/>
        </w:rPr>
        <w:t>, Hivatkozott szerző nem része a szövegnek:</w:t>
      </w:r>
      <w:r>
        <w:rPr>
          <w:i/>
          <w:sz w:val="22"/>
        </w:rPr>
        <w:t xml:space="preserve"> </w:t>
      </w:r>
    </w:p>
    <w:p w14:paraId="746C5F46" w14:textId="77777777" w:rsidR="00C445CF" w:rsidRDefault="00DB4137">
      <w:pPr>
        <w:spacing w:after="142"/>
        <w:ind w:left="877" w:right="160"/>
      </w:pPr>
      <w:r>
        <w:t xml:space="preserve">Legújabb tudatelméleti kutatásaink eredményei autizmusban rámutatnak arra, hogy a különböző kísérleti módszerek hogyan alkalmazhatók a kognitív heterogenitás vizsgálatára (Győri, 2009). </w:t>
      </w:r>
    </w:p>
    <w:p w14:paraId="7C8FF504" w14:textId="77777777" w:rsidR="00C445CF" w:rsidRDefault="00DB4137">
      <w:pPr>
        <w:spacing w:after="45" w:line="259" w:lineRule="auto"/>
        <w:ind w:left="0" w:right="0" w:firstLine="0"/>
        <w:jc w:val="left"/>
      </w:pPr>
      <w:r>
        <w:t xml:space="preserve"> </w:t>
      </w:r>
    </w:p>
    <w:p w14:paraId="39B78C92" w14:textId="77777777" w:rsidR="00C445CF" w:rsidRDefault="00DB4137">
      <w:pPr>
        <w:numPr>
          <w:ilvl w:val="0"/>
          <w:numId w:val="8"/>
        </w:numPr>
        <w:spacing w:after="156" w:line="259" w:lineRule="auto"/>
        <w:ind w:right="155" w:hanging="180"/>
      </w:pPr>
      <w:r>
        <w:rPr>
          <w:i/>
        </w:rPr>
        <w:t>, Hivatkozott szerző része a szövegnek:</w:t>
      </w:r>
      <w:r>
        <w:rPr>
          <w:i/>
          <w:sz w:val="22"/>
        </w:rPr>
        <w:t xml:space="preserve"> </w:t>
      </w:r>
    </w:p>
    <w:p w14:paraId="51988917" w14:textId="77777777" w:rsidR="00C445CF" w:rsidRDefault="00DB4137">
      <w:pPr>
        <w:spacing w:after="136"/>
        <w:ind w:left="877" w:right="160"/>
      </w:pPr>
      <w:r>
        <w:lastRenderedPageBreak/>
        <w:t xml:space="preserve">Legújabb tudatelméleti kutatásaik eredményeit összefoglaló tanulmányában Győri (2009) rámutat arra, hogy…. </w:t>
      </w:r>
    </w:p>
    <w:p w14:paraId="63D01F34" w14:textId="77777777" w:rsidR="00C445CF" w:rsidRDefault="00DB4137">
      <w:pPr>
        <w:spacing w:after="62" w:line="259" w:lineRule="auto"/>
        <w:ind w:left="0" w:right="0" w:firstLine="0"/>
        <w:jc w:val="left"/>
      </w:pPr>
      <w:r>
        <w:t xml:space="preserve"> </w:t>
      </w:r>
    </w:p>
    <w:p w14:paraId="424A04A7" w14:textId="77777777" w:rsidR="00C445CF" w:rsidRDefault="00DB4137">
      <w:pPr>
        <w:spacing w:after="201" w:line="259" w:lineRule="auto"/>
        <w:ind w:left="869" w:right="155" w:hanging="10"/>
      </w:pPr>
      <w:r>
        <w:rPr>
          <w:i/>
        </w:rPr>
        <w:t xml:space="preserve">Irodalomjegyzékben: </w:t>
      </w:r>
    </w:p>
    <w:p w14:paraId="2CA150B0" w14:textId="77777777" w:rsidR="00C445CF" w:rsidRDefault="00DB4137">
      <w:pPr>
        <w:spacing w:after="140"/>
        <w:ind w:left="877" w:right="160"/>
      </w:pPr>
      <w:r>
        <w:t xml:space="preserve">Győri M. (2009). A tudatelméleti képesség változatossága autizmusban – és implikációi az atipikus megismerésre és tanulásra nézve. </w:t>
      </w:r>
      <w:r>
        <w:rPr>
          <w:i/>
        </w:rPr>
        <w:t>Gyógypedagógiai Szemle</w:t>
      </w:r>
      <w:r>
        <w:t xml:space="preserve">, </w:t>
      </w:r>
      <w:r>
        <w:rPr>
          <w:i/>
        </w:rPr>
        <w:t>37</w:t>
      </w:r>
      <w:r>
        <w:t xml:space="preserve">(2-3), 96111. </w:t>
      </w:r>
    </w:p>
    <w:p w14:paraId="43A1377E" w14:textId="77777777" w:rsidR="00C445CF" w:rsidRDefault="00DB4137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ADAC886" w14:textId="77777777" w:rsidR="00C445CF" w:rsidRDefault="00DB4137">
      <w:pPr>
        <w:spacing w:after="142"/>
        <w:ind w:left="877" w:right="160"/>
      </w:pPr>
      <w:r>
        <w:t xml:space="preserve">Ha ugyanannak a szerzőnek ugyanabban az évben megjelent több művére is hivatkozunk, akkor a hivatkozásban és az irodalomjegyzékben is az ábécének az évszám után tett egymás utáni betűivel különböztetjük meg a műveket egymástól. A felhasznált szakirodalomjegyzékben a műveket címeik alapján rendezzük ábécé sorrendbe. </w:t>
      </w:r>
    </w:p>
    <w:p w14:paraId="564B77CC" w14:textId="77777777" w:rsidR="00C445CF" w:rsidRDefault="00DB4137">
      <w:pPr>
        <w:spacing w:after="64" w:line="259" w:lineRule="auto"/>
        <w:ind w:left="0" w:right="0" w:firstLine="0"/>
        <w:jc w:val="left"/>
      </w:pPr>
      <w:r>
        <w:t xml:space="preserve"> </w:t>
      </w:r>
    </w:p>
    <w:p w14:paraId="283FB303" w14:textId="77777777" w:rsidR="00C445CF" w:rsidRDefault="00DB4137">
      <w:pPr>
        <w:spacing w:after="189"/>
        <w:ind w:left="877" w:right="160"/>
      </w:pPr>
      <w:r>
        <w:t xml:space="preserve">PÉLDÁK: </w:t>
      </w:r>
    </w:p>
    <w:p w14:paraId="2EC35521" w14:textId="77777777" w:rsidR="00C445CF" w:rsidRDefault="00DB4137">
      <w:pPr>
        <w:spacing w:after="190"/>
        <w:ind w:left="877" w:right="160"/>
      </w:pPr>
      <w:r>
        <w:rPr>
          <w:i/>
        </w:rPr>
        <w:t xml:space="preserve">Szövegben: </w:t>
      </w:r>
      <w:r>
        <w:t xml:space="preserve">először (Csányi, 1992b), utóbb (Csányi, 1992a). </w:t>
      </w:r>
    </w:p>
    <w:p w14:paraId="16A5A111" w14:textId="77777777" w:rsidR="00C445CF" w:rsidRDefault="00DB4137">
      <w:pPr>
        <w:spacing w:after="201" w:line="259" w:lineRule="auto"/>
        <w:ind w:left="869" w:right="155" w:hanging="10"/>
      </w:pPr>
      <w:r>
        <w:rPr>
          <w:i/>
        </w:rPr>
        <w:t xml:space="preserve">Irodalomjegyzékben: </w:t>
      </w:r>
    </w:p>
    <w:p w14:paraId="6B20C6FD" w14:textId="77777777" w:rsidR="00C445CF" w:rsidRDefault="00DB4137">
      <w:pPr>
        <w:ind w:left="877" w:right="160"/>
      </w:pPr>
      <w:r>
        <w:t xml:space="preserve">Csányi Y. (1992a). A beszéd-nyelvtanulási zavarok diagnózisára épített terápia tervezése és végrehajtása hallássérülteknél. </w:t>
      </w:r>
      <w:r>
        <w:rPr>
          <w:i/>
        </w:rPr>
        <w:t>Fejlesztő Pedagógia, 3</w:t>
      </w:r>
      <w:r>
        <w:t xml:space="preserve">(3-4), 100-103. </w:t>
      </w:r>
    </w:p>
    <w:p w14:paraId="637ED27E" w14:textId="77777777" w:rsidR="00C445CF" w:rsidRDefault="00DB4137">
      <w:pPr>
        <w:spacing w:after="133"/>
        <w:ind w:left="877" w:right="160"/>
      </w:pPr>
      <w:r>
        <w:t xml:space="preserve">Csányi Y. (1992b). Hallássérültek továbbtanulási lehetőségei, különös tekintettel a gimnáziumra. </w:t>
      </w:r>
      <w:r>
        <w:rPr>
          <w:i/>
        </w:rPr>
        <w:t>Gyógypedagógiai Szemle, 20</w:t>
      </w:r>
      <w:r>
        <w:t xml:space="preserve">(1), 58-64. </w:t>
      </w:r>
    </w:p>
    <w:p w14:paraId="135E0BE9" w14:textId="77777777" w:rsidR="00C445CF" w:rsidRDefault="00DB4137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19FB9ED9" w14:textId="77777777" w:rsidR="00C445CF" w:rsidRDefault="00DB4137">
      <w:pPr>
        <w:spacing w:after="201" w:line="259" w:lineRule="auto"/>
        <w:ind w:left="869" w:right="155" w:hanging="10"/>
      </w:pPr>
      <w:r>
        <w:rPr>
          <w:i/>
        </w:rPr>
        <w:t xml:space="preserve">Szövegben több szerző esetében: </w:t>
      </w:r>
    </w:p>
    <w:p w14:paraId="65099CF5" w14:textId="77777777" w:rsidR="00C445CF" w:rsidRDefault="00DB4137">
      <w:pPr>
        <w:numPr>
          <w:ilvl w:val="0"/>
          <w:numId w:val="9"/>
        </w:numPr>
        <w:spacing w:after="145"/>
        <w:ind w:right="160" w:hanging="137"/>
      </w:pPr>
      <w:r>
        <w:t xml:space="preserve">Két szerző esetében: </w:t>
      </w:r>
    </w:p>
    <w:p w14:paraId="3CD750B3" w14:textId="77777777" w:rsidR="00C445CF" w:rsidRDefault="00DB4137">
      <w:pPr>
        <w:spacing w:after="5"/>
        <w:ind w:left="869" w:right="160"/>
      </w:pPr>
      <w:r>
        <w:t xml:space="preserve">a., Hivatkozott szerzők nem részei a szövegnek: (Zajdó &amp; Csertán, 2020) </w:t>
      </w:r>
    </w:p>
    <w:p w14:paraId="2B3FB9DF" w14:textId="77777777" w:rsidR="00C445CF" w:rsidRDefault="00DB4137">
      <w:pPr>
        <w:ind w:left="869" w:right="160"/>
      </w:pPr>
      <w:r>
        <w:t>b., Hivatkozott mű szerzői részei a szövegnek: Zajdó &amp; Csertán (2020)</w:t>
      </w:r>
    </w:p>
    <w:p w14:paraId="46CA677E" w14:textId="77777777" w:rsidR="00C445CF" w:rsidRDefault="00DB4137">
      <w:pPr>
        <w:numPr>
          <w:ilvl w:val="0"/>
          <w:numId w:val="9"/>
        </w:numPr>
        <w:spacing w:after="133"/>
        <w:ind w:right="160" w:hanging="137"/>
      </w:pPr>
      <w:r>
        <w:t xml:space="preserve">Három vagy több szerző esetében már az első hivatkozásnál is csak az első szerzőt nevesítjük: (Surányi et al., 2009) </w:t>
      </w:r>
    </w:p>
    <w:p w14:paraId="5DF1318D" w14:textId="77777777" w:rsidR="00C445CF" w:rsidRDefault="00DB4137">
      <w:pPr>
        <w:spacing w:after="62" w:line="259" w:lineRule="auto"/>
        <w:ind w:left="0" w:right="0" w:firstLine="0"/>
        <w:jc w:val="left"/>
      </w:pPr>
      <w:r>
        <w:t xml:space="preserve"> </w:t>
      </w:r>
    </w:p>
    <w:p w14:paraId="0906D3D4" w14:textId="77777777" w:rsidR="00C445CF" w:rsidRDefault="00DB4137">
      <w:pPr>
        <w:spacing w:after="201" w:line="259" w:lineRule="auto"/>
        <w:ind w:left="869" w:right="155" w:hanging="10"/>
      </w:pPr>
      <w:r>
        <w:rPr>
          <w:i/>
        </w:rPr>
        <w:t xml:space="preserve">Irodalomjegyzékben: </w:t>
      </w:r>
    </w:p>
    <w:p w14:paraId="65F92B2E" w14:textId="77777777" w:rsidR="00C445CF" w:rsidRDefault="00DB4137">
      <w:pPr>
        <w:numPr>
          <w:ilvl w:val="0"/>
          <w:numId w:val="9"/>
        </w:numPr>
        <w:ind w:right="160" w:hanging="137"/>
      </w:pPr>
      <w:r>
        <w:t xml:space="preserve">Két szerző esetében: Zajdó K., &amp; Csertán E. (2020). The acquisition of phonological awareness in children with mild general learning difficulties: Delayed or disordered speech development? In Babatsouli, E. (szerk.), On under-reported monolingual child phonology (pp. 274-323). Multilingual Matters. </w:t>
      </w:r>
    </w:p>
    <w:p w14:paraId="22FA6246" w14:textId="77777777" w:rsidR="00C445CF" w:rsidRDefault="00DB4137">
      <w:pPr>
        <w:numPr>
          <w:ilvl w:val="0"/>
          <w:numId w:val="9"/>
        </w:numPr>
        <w:ind w:right="160" w:hanging="137"/>
      </w:pPr>
      <w:r>
        <w:t xml:space="preserve">Háromtól húszig terjedő számú szerző esetében: van der Stelt, J.M., Zajdó, K., &amp; Wempe, T.G. (2005). Exploring the acoustic vowel space in two-year-old children: Results for Dutch and Hungarian. </w:t>
      </w:r>
      <w:r>
        <w:rPr>
          <w:i/>
        </w:rPr>
        <w:t>Speech Communication, 47</w:t>
      </w:r>
      <w:r>
        <w:t xml:space="preserve">(1-2), 143-159. </w:t>
      </w:r>
    </w:p>
    <w:p w14:paraId="7A98D3BE" w14:textId="77777777" w:rsidR="00C445CF" w:rsidRDefault="00DB4137">
      <w:pPr>
        <w:numPr>
          <w:ilvl w:val="0"/>
          <w:numId w:val="9"/>
        </w:numPr>
        <w:ind w:right="160" w:hanging="137"/>
      </w:pPr>
      <w:r>
        <w:lastRenderedPageBreak/>
        <w:t xml:space="preserve">Huszonegy vagy több szerző esetében az első tizenkilenc és az utolsó szerzőt nevesítjük (az utolsó szerző neve előtt három ponttal): Castelpietra, G., Knudsen, A.K.S., Agardh, E.E., Armocida, B., Beghi, M., Iburg, K.M., Logroscino, G., Ma, R., Starace, F., Steel, N., Addolorato, G., Andrei, C.L., Andrei, T., Ayuso-Mateos, J.L., </w:t>
      </w:r>
    </w:p>
    <w:p w14:paraId="540028B1" w14:textId="77777777" w:rsidR="00C445CF" w:rsidRDefault="00DB4137">
      <w:pPr>
        <w:spacing w:after="5"/>
        <w:ind w:left="869" w:right="160"/>
      </w:pPr>
      <w:r>
        <w:t xml:space="preserve">Banach, M., Bärnighausen, T.W., Barone-Adesi, F., Bhagavathula, A.S., Carvalho, F., … Monasto, L. (2022). </w:t>
      </w:r>
      <w:hyperlink r:id="rId13">
        <w:r>
          <w:t xml:space="preserve">The burden of mental disorders, substance use disorders and </w:t>
        </w:r>
      </w:hyperlink>
      <w:hyperlink r:id="rId14">
        <w:r>
          <w:t>self</w:t>
        </w:r>
      </w:hyperlink>
      <w:hyperlink r:id="rId15">
        <w:r>
          <w:t>-</w:t>
        </w:r>
      </w:hyperlink>
      <w:hyperlink r:id="rId16">
        <w:r>
          <w:t>harm among young people in Europe, 1990</w:t>
        </w:r>
      </w:hyperlink>
      <w:hyperlink r:id="rId17">
        <w:r>
          <w:t>-</w:t>
        </w:r>
      </w:hyperlink>
      <w:hyperlink r:id="rId18">
        <w:r>
          <w:t xml:space="preserve">2019: Findings from the Global Burden </w:t>
        </w:r>
      </w:hyperlink>
      <w:r>
        <w:t>of Disease Study 2019</w:t>
      </w:r>
      <w:hyperlink r:id="rId19">
        <w:r>
          <w:t>.</w:t>
        </w:r>
      </w:hyperlink>
      <w:hyperlink r:id="rId20">
        <w:r>
          <w:t xml:space="preserve"> </w:t>
        </w:r>
      </w:hyperlink>
      <w:r>
        <w:rPr>
          <w:i/>
        </w:rPr>
        <w:t>Lancet Regional Health Europe, 16</w:t>
      </w:r>
      <w:r>
        <w:t xml:space="preserve">, 100341. http://doi.org/10.1016/j.lanepe.2022.100341. </w:t>
      </w:r>
    </w:p>
    <w:p w14:paraId="2525F421" w14:textId="77777777" w:rsidR="00C445CF" w:rsidRDefault="00DB4137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C136A0F" w14:textId="77777777" w:rsidR="00C445CF" w:rsidRDefault="00DB4137">
      <w:pPr>
        <w:spacing w:after="65" w:line="259" w:lineRule="auto"/>
        <w:ind w:left="0" w:right="0" w:firstLine="0"/>
        <w:jc w:val="left"/>
      </w:pPr>
      <w:r>
        <w:t xml:space="preserve"> </w:t>
      </w:r>
    </w:p>
    <w:p w14:paraId="4FD893A5" w14:textId="77777777" w:rsidR="00C445CF" w:rsidRDefault="00DB4137">
      <w:pPr>
        <w:numPr>
          <w:ilvl w:val="0"/>
          <w:numId w:val="10"/>
        </w:numPr>
        <w:spacing w:after="133"/>
        <w:ind w:left="154" w:right="160"/>
      </w:pPr>
      <w:r>
        <w:rPr>
          <w:b/>
        </w:rPr>
        <w:t xml:space="preserve">Közvetett hivatkozás: </w:t>
      </w:r>
      <w:r>
        <w:t xml:space="preserve">amikor egy idézetet, gondolatot, megállapítást nem az eredeti műből, hanem egy azt feldolgozó másik munkából veszünk át. </w:t>
      </w:r>
    </w:p>
    <w:p w14:paraId="42A504BF" w14:textId="77777777" w:rsidR="00C445CF" w:rsidRDefault="00DB4137">
      <w:pPr>
        <w:spacing w:after="64" w:line="259" w:lineRule="auto"/>
        <w:ind w:left="0" w:right="0" w:firstLine="0"/>
        <w:jc w:val="left"/>
      </w:pPr>
      <w:r>
        <w:t xml:space="preserve"> </w:t>
      </w:r>
    </w:p>
    <w:p w14:paraId="4FB3EB21" w14:textId="77777777" w:rsidR="00C445CF" w:rsidRDefault="00DB4137">
      <w:pPr>
        <w:spacing w:after="201" w:line="259" w:lineRule="auto"/>
        <w:ind w:left="869" w:right="155" w:hanging="10"/>
      </w:pPr>
      <w:r>
        <w:rPr>
          <w:i/>
        </w:rPr>
        <w:t xml:space="preserve">Szövegben: </w:t>
      </w:r>
    </w:p>
    <w:p w14:paraId="44501F5D" w14:textId="77777777" w:rsidR="00C445CF" w:rsidRDefault="00DB4137" w:rsidP="00E72E35">
      <w:pPr>
        <w:numPr>
          <w:ilvl w:val="1"/>
          <w:numId w:val="10"/>
        </w:numPr>
        <w:spacing w:line="354" w:lineRule="auto"/>
        <w:ind w:right="158" w:hanging="180"/>
      </w:pPr>
      <w:r>
        <w:t xml:space="preserve">, </w:t>
      </w:r>
      <w:r>
        <w:rPr>
          <w:i/>
        </w:rPr>
        <w:t>Hivatkozott szerző nem része a szövegnek:</w:t>
      </w:r>
      <w:r>
        <w:rPr>
          <w:sz w:val="22"/>
        </w:rPr>
        <w:t xml:space="preserve"> </w:t>
      </w:r>
      <w:r>
        <w:t xml:space="preserve">Ezzel világossá vált, hogy mit értünk a minden szakaszban megegyező funkcionális mechanizmusokon. (Piaget, id. Kiss, 1993) </w:t>
      </w:r>
    </w:p>
    <w:p w14:paraId="50D00C79" w14:textId="77777777" w:rsidR="00C445CF" w:rsidRDefault="00DB4137">
      <w:pPr>
        <w:numPr>
          <w:ilvl w:val="1"/>
          <w:numId w:val="10"/>
        </w:numPr>
        <w:spacing w:after="201" w:line="259" w:lineRule="auto"/>
        <w:ind w:right="158" w:hanging="180"/>
      </w:pPr>
      <w:r>
        <w:rPr>
          <w:i/>
        </w:rPr>
        <w:t>, Hivatkozott szerző része a szövegnek</w:t>
      </w:r>
      <w:r>
        <w:t>:</w:t>
      </w:r>
      <w:r>
        <w:rPr>
          <w:i/>
          <w:sz w:val="22"/>
        </w:rPr>
        <w:t xml:space="preserve"> </w:t>
      </w:r>
    </w:p>
    <w:p w14:paraId="587B680E" w14:textId="77777777" w:rsidR="00C445CF" w:rsidRDefault="00DB4137" w:rsidP="00E72E35">
      <w:pPr>
        <w:spacing w:after="145"/>
        <w:ind w:left="877" w:right="160"/>
      </w:pPr>
      <w:r>
        <w:t xml:space="preserve">Piaget (id. Kiss, 1993) ezzel világossá tette, hogy mit értünk a minden szakaszban… </w:t>
      </w:r>
    </w:p>
    <w:p w14:paraId="1153C2B8" w14:textId="77777777" w:rsidR="00C445CF" w:rsidRDefault="00DB4137">
      <w:pPr>
        <w:spacing w:after="179" w:line="259" w:lineRule="auto"/>
        <w:ind w:left="869" w:right="155" w:hanging="10"/>
      </w:pPr>
      <w:r>
        <w:rPr>
          <w:i/>
        </w:rPr>
        <w:t xml:space="preserve">Irodalomjegyzékben: </w:t>
      </w:r>
    </w:p>
    <w:p w14:paraId="5561DA52" w14:textId="77777777" w:rsidR="00C445CF" w:rsidRDefault="00DB4137">
      <w:pPr>
        <w:ind w:left="877" w:right="160"/>
      </w:pPr>
      <w:r>
        <w:t xml:space="preserve">Kiss T. (1993). </w:t>
      </w:r>
      <w:r>
        <w:rPr>
          <w:i/>
        </w:rPr>
        <w:t>Jean Piaget a pszichológus</w:t>
      </w:r>
      <w:r>
        <w:t xml:space="preserve">. Budapest: Alex-typo Kiadó. </w:t>
      </w:r>
    </w:p>
    <w:p w14:paraId="26014E96" w14:textId="77777777" w:rsidR="00C445CF" w:rsidRDefault="00DB4137" w:rsidP="00E72E35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1B309F52" w14:textId="77777777" w:rsidR="00C445CF" w:rsidRDefault="00DB4137">
      <w:pPr>
        <w:numPr>
          <w:ilvl w:val="0"/>
          <w:numId w:val="10"/>
        </w:numPr>
        <w:spacing w:after="140"/>
        <w:ind w:left="154" w:right="160"/>
      </w:pPr>
      <w:r>
        <w:rPr>
          <w:b/>
        </w:rPr>
        <w:t xml:space="preserve">Idézet: </w:t>
      </w:r>
      <w:r>
        <w:t xml:space="preserve">a felhasznált irodalomból </w:t>
      </w:r>
      <w:r>
        <w:rPr>
          <w:b/>
        </w:rPr>
        <w:t xml:space="preserve">szó szerint </w:t>
      </w:r>
      <w:r>
        <w:t xml:space="preserve">átvett szövegrészlet az idézet. Az idézett szöveget idézőjelbe kell tenni, és meg kell adni az eredeti művet azonosító bibliográfiai adatokat, a megfelelő oldalszámmal együtt. Az idézőjelbe tett szövegnek teljes mértékben meg kell egyeznie az eredeti szöveggel, beleértve a központozást is. </w:t>
      </w:r>
    </w:p>
    <w:p w14:paraId="335CC390" w14:textId="77777777" w:rsidR="00C445CF" w:rsidRDefault="00DB4137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08C73CB0" w14:textId="77777777" w:rsidR="00C445CF" w:rsidRDefault="00DB4137">
      <w:pPr>
        <w:spacing w:after="153" w:line="259" w:lineRule="auto"/>
        <w:ind w:left="869" w:right="155" w:hanging="10"/>
      </w:pPr>
      <w:r>
        <w:rPr>
          <w:i/>
        </w:rPr>
        <w:t xml:space="preserve">Szövegben – szerző nem része az idézett szövegnek: </w:t>
      </w:r>
    </w:p>
    <w:p w14:paraId="5E6FE974" w14:textId="77777777" w:rsidR="00C445CF" w:rsidRDefault="00DB4137" w:rsidP="00E72E35">
      <w:pPr>
        <w:spacing w:after="143"/>
        <w:ind w:left="877" w:right="160"/>
      </w:pPr>
      <w:r>
        <w:t xml:space="preserve">„A hivatkozás elmulasztása valamely fontos, az adott közleménnyel jelentős tartalmi átfedésben lévő dolgozatra a tudományos közlés esetében plágiumnak tekinthető.” (Beck, 1992, p. 263). </w:t>
      </w:r>
    </w:p>
    <w:p w14:paraId="065BE5DB" w14:textId="77777777" w:rsidR="00C445CF" w:rsidRDefault="00DB4137">
      <w:pPr>
        <w:spacing w:after="156" w:line="259" w:lineRule="auto"/>
        <w:ind w:left="869" w:right="155" w:hanging="10"/>
      </w:pPr>
      <w:r>
        <w:rPr>
          <w:i/>
        </w:rPr>
        <w:t xml:space="preserve">Szövegben – szerző része az idézett szövegnek: </w:t>
      </w:r>
    </w:p>
    <w:p w14:paraId="0E8DA674" w14:textId="77777777" w:rsidR="00C445CF" w:rsidRDefault="00DB4137" w:rsidP="00E72E35">
      <w:pPr>
        <w:spacing w:after="136"/>
        <w:ind w:left="869" w:right="160"/>
      </w:pPr>
      <w:r>
        <w:t xml:space="preserve">Beck (1992) szerint „a hivatkozás elmulasztása valamely fontos, az adott közleménnyel jelentős tartalmi átfedésben lévő dolgozatra a tudományos közlés esetében plágiumnak tekinthető” (p. 263). </w:t>
      </w:r>
    </w:p>
    <w:p w14:paraId="6B3763D7" w14:textId="77777777" w:rsidR="00C445CF" w:rsidRDefault="00DB4137">
      <w:pPr>
        <w:spacing w:after="201" w:line="259" w:lineRule="auto"/>
        <w:ind w:left="869" w:right="155" w:hanging="10"/>
      </w:pPr>
      <w:r>
        <w:rPr>
          <w:i/>
        </w:rPr>
        <w:t xml:space="preserve">Irodalomjegyzékben: </w:t>
      </w:r>
    </w:p>
    <w:p w14:paraId="46FE15AF" w14:textId="77777777" w:rsidR="00C445CF" w:rsidRDefault="00DB4137">
      <w:pPr>
        <w:spacing w:after="150"/>
        <w:ind w:left="877" w:right="160"/>
      </w:pPr>
      <w:r>
        <w:lastRenderedPageBreak/>
        <w:t xml:space="preserve">Beck M. (1992). A tudományos közlés etikai kérdései. </w:t>
      </w:r>
      <w:r>
        <w:rPr>
          <w:i/>
        </w:rPr>
        <w:t>Magyar Tudomány, 99</w:t>
      </w:r>
      <w:r>
        <w:t xml:space="preserve">(3), 257266. </w:t>
      </w:r>
    </w:p>
    <w:p w14:paraId="1C92A7AE" w14:textId="77777777" w:rsidR="00C445CF" w:rsidRDefault="00DB4137">
      <w:pPr>
        <w:spacing w:after="73" w:line="259" w:lineRule="auto"/>
        <w:ind w:left="0" w:right="0" w:firstLine="0"/>
        <w:jc w:val="left"/>
      </w:pPr>
      <w:r>
        <w:t xml:space="preserve"> </w:t>
      </w:r>
    </w:p>
    <w:p w14:paraId="050189AC" w14:textId="77777777" w:rsidR="00211FD2" w:rsidRDefault="00211FD2" w:rsidP="00E72E35">
      <w:pPr>
        <w:spacing w:after="141" w:line="259" w:lineRule="auto"/>
        <w:ind w:left="142" w:right="150" w:hanging="10"/>
        <w:rPr>
          <w:b/>
        </w:rPr>
      </w:pPr>
    </w:p>
    <w:p w14:paraId="6C05555C" w14:textId="77777777" w:rsidR="00211FD2" w:rsidRDefault="00211FD2" w:rsidP="00E72E35">
      <w:pPr>
        <w:spacing w:after="141" w:line="259" w:lineRule="auto"/>
        <w:ind w:left="142" w:right="150" w:hanging="10"/>
        <w:rPr>
          <w:b/>
        </w:rPr>
      </w:pPr>
    </w:p>
    <w:p w14:paraId="41376E2A" w14:textId="7C29D60B" w:rsidR="00C445CF" w:rsidRDefault="00DB4137" w:rsidP="00E72E35">
      <w:pPr>
        <w:spacing w:after="141" w:line="259" w:lineRule="auto"/>
        <w:ind w:left="142" w:right="150" w:hanging="10"/>
      </w:pPr>
      <w:r>
        <w:rPr>
          <w:b/>
        </w:rPr>
        <w:t xml:space="preserve">Irodalomjegyzék: </w:t>
      </w:r>
    </w:p>
    <w:p w14:paraId="068A24B1" w14:textId="77777777" w:rsidR="00C445CF" w:rsidRDefault="00DB4137">
      <w:pPr>
        <w:ind w:left="154" w:right="160"/>
      </w:pPr>
      <w:r>
        <w:t xml:space="preserve">Az irodalomjegyzék a szakdolgozat megírásához felhasznált művek szerző(k) szerint betűrendbe sorolt listája. Ugyanazon szerző(k) különböző művei a megjelenés sorrendjében követik egymást. Ezt a dolgozat végére, a mellékletek elé helyezzük el. </w:t>
      </w:r>
    </w:p>
    <w:p w14:paraId="7CAE4F32" w14:textId="77777777" w:rsidR="00C445CF" w:rsidRDefault="00DB4137">
      <w:pPr>
        <w:ind w:left="151" w:right="160" w:firstLine="554"/>
      </w:pPr>
      <w:r>
        <w:t>A megadott művek lehetnek teljes könyvek, könyvekből vett önálló tanulmányok, fejezetek, folyóiratcikkek, kéziratok, egyéb speciális dokumentumok.</w:t>
      </w:r>
    </w:p>
    <w:p w14:paraId="46213A82" w14:textId="77777777" w:rsidR="00C445CF" w:rsidRDefault="00DB4137">
      <w:pPr>
        <w:spacing w:after="191" w:line="259" w:lineRule="auto"/>
        <w:ind w:left="341" w:right="150" w:hanging="10"/>
      </w:pPr>
      <w:r>
        <w:rPr>
          <w:b/>
        </w:rPr>
        <w:t xml:space="preserve">A felsorolt művek adatait az alábbiak szerint kell közölni: </w:t>
      </w:r>
    </w:p>
    <w:p w14:paraId="03CE651F" w14:textId="77777777" w:rsidR="00C445CF" w:rsidRDefault="00DB4137">
      <w:pPr>
        <w:spacing w:after="198" w:line="259" w:lineRule="auto"/>
        <w:ind w:left="161" w:right="0" w:hanging="10"/>
        <w:jc w:val="left"/>
      </w:pPr>
      <w:r>
        <w:rPr>
          <w:u w:val="single" w:color="000000"/>
        </w:rPr>
        <w:t>Könyvek:</w:t>
      </w:r>
      <w:r>
        <w:t xml:space="preserve"> </w:t>
      </w:r>
    </w:p>
    <w:p w14:paraId="200A0C36" w14:textId="77777777" w:rsidR="00C445CF" w:rsidRDefault="00DB4137" w:rsidP="00E72E35">
      <w:pPr>
        <w:spacing w:after="5"/>
        <w:ind w:left="154" w:right="8"/>
      </w:pPr>
      <w:r>
        <w:t xml:space="preserve">szerző vagy szerkesztő. (évszám). </w:t>
      </w:r>
      <w:r>
        <w:rPr>
          <w:i/>
        </w:rPr>
        <w:t xml:space="preserve">cím </w:t>
      </w:r>
      <w:r>
        <w:t xml:space="preserve">(kiadás). kiadó. </w:t>
      </w:r>
    </w:p>
    <w:p w14:paraId="3C834511" w14:textId="77777777" w:rsidR="00C445CF" w:rsidRDefault="00DB4137">
      <w:pPr>
        <w:spacing w:after="61" w:line="259" w:lineRule="auto"/>
        <w:ind w:left="0" w:right="0" w:firstLine="0"/>
        <w:jc w:val="left"/>
      </w:pPr>
      <w:r>
        <w:t xml:space="preserve"> </w:t>
      </w:r>
    </w:p>
    <w:p w14:paraId="12FD61AA" w14:textId="77777777" w:rsidR="00C445CF" w:rsidRDefault="00DB4137">
      <w:pPr>
        <w:spacing w:after="189"/>
        <w:ind w:left="877" w:right="160"/>
      </w:pPr>
      <w:r>
        <w:t xml:space="preserve">PÉLDÁK: </w:t>
      </w:r>
    </w:p>
    <w:p w14:paraId="1D986AFC" w14:textId="77777777" w:rsidR="00C445CF" w:rsidRDefault="00DB4137" w:rsidP="00E72E35">
      <w:pPr>
        <w:spacing w:after="8"/>
        <w:ind w:left="877" w:right="160"/>
      </w:pPr>
      <w:r>
        <w:t xml:space="preserve">Gyurgyák J. (1996). </w:t>
      </w:r>
      <w:r>
        <w:rPr>
          <w:i/>
        </w:rPr>
        <w:t>Szerkesztők és szerzők kézikönyve</w:t>
      </w:r>
      <w:r>
        <w:t xml:space="preserve">. Osiris Kiadó. </w:t>
      </w:r>
    </w:p>
    <w:p w14:paraId="7B4D102C" w14:textId="77777777" w:rsidR="00C445CF" w:rsidRDefault="00DB4137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567264E4" w14:textId="77777777" w:rsidR="00C445CF" w:rsidRDefault="00DB4137">
      <w:pPr>
        <w:spacing w:after="156" w:line="259" w:lineRule="auto"/>
        <w:ind w:left="869" w:right="155" w:hanging="10"/>
      </w:pPr>
      <w:r>
        <w:rPr>
          <w:i/>
        </w:rPr>
        <w:t xml:space="preserve">Szerkesztett mű esetében: </w:t>
      </w:r>
    </w:p>
    <w:p w14:paraId="7D9550DF" w14:textId="77777777" w:rsidR="00C445CF" w:rsidRDefault="00DB4137">
      <w:pPr>
        <w:spacing w:after="150" w:line="259" w:lineRule="auto"/>
        <w:ind w:left="869" w:right="155" w:hanging="10"/>
      </w:pPr>
      <w:r>
        <w:t xml:space="preserve">Zászkaliczky P., &amp; Verdes T. (szerk.). (2010). </w:t>
      </w:r>
      <w:r>
        <w:rPr>
          <w:i/>
        </w:rPr>
        <w:t xml:space="preserve">Tágabb értelemben vett gyógypedagógia: A fogyatékosság jelensége a gyógypedagógia határtudományaiban </w:t>
      </w:r>
      <w:r>
        <w:t xml:space="preserve">(2. kiadás). ELTE Eötvös Kiadó/ELTE BGGYK. </w:t>
      </w:r>
    </w:p>
    <w:p w14:paraId="644C773E" w14:textId="77777777" w:rsidR="00C445CF" w:rsidRDefault="00DB4137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648765A8" w14:textId="77777777" w:rsidR="00C445CF" w:rsidRDefault="00DB4137" w:rsidP="00E72E35">
      <w:pPr>
        <w:spacing w:after="0" w:line="434" w:lineRule="auto"/>
        <w:ind w:left="161" w:right="643" w:hanging="10"/>
        <w:jc w:val="left"/>
      </w:pPr>
      <w:r>
        <w:rPr>
          <w:u w:val="single" w:color="000000"/>
        </w:rPr>
        <w:t>Könyvek önálló részei (tanulmányok, könyvfejezetek):</w:t>
      </w:r>
      <w:r>
        <w:t xml:space="preserve"> a rész szerzője/szerzői. (évszám). tanulmány címe. In a könyv szerkesztője, </w:t>
      </w:r>
      <w:r>
        <w:rPr>
          <w:i/>
        </w:rPr>
        <w:t xml:space="preserve">a könyv címe </w:t>
      </w:r>
      <w:r>
        <w:t xml:space="preserve">(kiadás, rész oldalszáma a könyvön belül). Kiadó. </w:t>
      </w:r>
    </w:p>
    <w:p w14:paraId="3953B998" w14:textId="77777777" w:rsidR="00C445CF" w:rsidRDefault="00DB4137">
      <w:pPr>
        <w:spacing w:after="61" w:line="259" w:lineRule="auto"/>
        <w:ind w:left="0" w:right="0" w:firstLine="0"/>
        <w:jc w:val="left"/>
      </w:pPr>
      <w:r>
        <w:t xml:space="preserve"> </w:t>
      </w:r>
    </w:p>
    <w:p w14:paraId="5C03D4B5" w14:textId="77777777" w:rsidR="00C445CF" w:rsidRDefault="00DB4137">
      <w:pPr>
        <w:spacing w:after="145"/>
        <w:ind w:left="877" w:right="160"/>
      </w:pPr>
      <w:r>
        <w:t xml:space="preserve">PÉLDA: </w:t>
      </w:r>
    </w:p>
    <w:p w14:paraId="1A041174" w14:textId="77777777" w:rsidR="00C445CF" w:rsidRDefault="00DB4137">
      <w:pPr>
        <w:spacing w:after="145"/>
        <w:ind w:left="877" w:right="160"/>
      </w:pPr>
      <w:r>
        <w:t xml:space="preserve">Zajdó K., Forró Zs., &amp; Kas B. (2019). The history of language impairment/developmental language disorder in Hungary. In J. Law, C. McKean, C-A. Murphy &amp; E. Thordardottir (szerk.), </w:t>
      </w:r>
      <w:r>
        <w:rPr>
          <w:i/>
        </w:rPr>
        <w:t xml:space="preserve">Managing children with developmental language disorder: Theory and practice across Europe and beyond </w:t>
      </w:r>
      <w:r>
        <w:t xml:space="preserve">(pp. 418-426). Routledge. </w:t>
      </w:r>
    </w:p>
    <w:p w14:paraId="291E3F9F" w14:textId="77777777" w:rsidR="00C445CF" w:rsidRDefault="00DB4137">
      <w:pPr>
        <w:spacing w:after="62" w:line="259" w:lineRule="auto"/>
        <w:ind w:left="0" w:right="0" w:firstLine="0"/>
        <w:jc w:val="left"/>
      </w:pPr>
      <w:r>
        <w:t xml:space="preserve"> </w:t>
      </w:r>
    </w:p>
    <w:p w14:paraId="087B7E3F" w14:textId="77777777" w:rsidR="00C445CF" w:rsidRDefault="00DB4137">
      <w:pPr>
        <w:spacing w:after="202" w:line="259" w:lineRule="auto"/>
        <w:ind w:left="161" w:right="0" w:hanging="10"/>
        <w:jc w:val="left"/>
      </w:pPr>
      <w:r>
        <w:rPr>
          <w:u w:val="single" w:color="000000"/>
        </w:rPr>
        <w:t>Folyóiratcikkek:</w:t>
      </w:r>
      <w:r>
        <w:t xml:space="preserve"> </w:t>
      </w:r>
    </w:p>
    <w:p w14:paraId="04A6F54E" w14:textId="77777777" w:rsidR="00C445CF" w:rsidRDefault="00DB4137">
      <w:pPr>
        <w:spacing w:after="138"/>
        <w:ind w:left="154" w:right="160"/>
      </w:pPr>
      <w:r>
        <w:lastRenderedPageBreak/>
        <w:t xml:space="preserve">a cikk szerzője/szerzői. (évszám). a cikk címe. </w:t>
      </w:r>
      <w:r>
        <w:rPr>
          <w:i/>
        </w:rPr>
        <w:t>folyóirat címe</w:t>
      </w:r>
      <w:r>
        <w:t xml:space="preserve">, </w:t>
      </w:r>
      <w:r>
        <w:rPr>
          <w:i/>
        </w:rPr>
        <w:t>évfolyam</w:t>
      </w:r>
      <w:r>
        <w:t xml:space="preserve">(füzetszám), oldalszám (nem tévedés, az évfolyam és a zárójeles füzetszám nyitó zárójele között nincs üres leütés!). </w:t>
      </w:r>
    </w:p>
    <w:p w14:paraId="141D7094" w14:textId="77777777" w:rsidR="00C445CF" w:rsidRDefault="00DB4137">
      <w:pPr>
        <w:spacing w:after="59" w:line="259" w:lineRule="auto"/>
        <w:ind w:left="0" w:right="0" w:firstLine="0"/>
        <w:jc w:val="left"/>
      </w:pPr>
      <w:r>
        <w:t xml:space="preserve"> </w:t>
      </w:r>
    </w:p>
    <w:p w14:paraId="48749CEE" w14:textId="77777777" w:rsidR="00C445CF" w:rsidRDefault="00DB4137">
      <w:pPr>
        <w:spacing w:after="185"/>
        <w:ind w:left="877" w:right="160"/>
      </w:pPr>
      <w:r>
        <w:t xml:space="preserve">PÉLDA: </w:t>
      </w:r>
    </w:p>
    <w:p w14:paraId="3CB53505" w14:textId="77777777" w:rsidR="00C445CF" w:rsidRDefault="00DB4137">
      <w:pPr>
        <w:spacing w:after="8"/>
        <w:ind w:left="877" w:right="0"/>
      </w:pPr>
      <w:r>
        <w:t xml:space="preserve">Réthy E. (2020). A gyógypedagógus-képzés fejlődéstörténetének útja 1900-1945. </w:t>
      </w:r>
    </w:p>
    <w:p w14:paraId="0EBFE380" w14:textId="77777777" w:rsidR="00C445CF" w:rsidRDefault="00DB4137">
      <w:pPr>
        <w:ind w:left="877" w:right="160"/>
      </w:pPr>
      <w:r>
        <w:rPr>
          <w:i/>
        </w:rPr>
        <w:t>Polymatheia</w:t>
      </w:r>
      <w:r>
        <w:t xml:space="preserve">, </w:t>
      </w:r>
      <w:r>
        <w:rPr>
          <w:i/>
        </w:rPr>
        <w:t>XVII</w:t>
      </w:r>
      <w:r>
        <w:t>(1-2), 123-136.</w:t>
      </w:r>
    </w:p>
    <w:p w14:paraId="72876171" w14:textId="77777777" w:rsidR="00C445CF" w:rsidRDefault="00DB4137">
      <w:pPr>
        <w:spacing w:after="189" w:line="259" w:lineRule="auto"/>
        <w:ind w:left="161" w:right="0" w:hanging="10"/>
        <w:jc w:val="left"/>
      </w:pPr>
      <w:r>
        <w:rPr>
          <w:u w:val="single" w:color="000000"/>
        </w:rPr>
        <w:t>Kéziratok, disszertációk, szakdolgozatok:</w:t>
      </w:r>
      <w:r>
        <w:t xml:space="preserve"> </w:t>
      </w:r>
    </w:p>
    <w:p w14:paraId="4EB211E1" w14:textId="77777777" w:rsidR="00C445CF" w:rsidRDefault="00DB4137">
      <w:pPr>
        <w:ind w:left="154" w:right="160"/>
      </w:pPr>
      <w:r>
        <w:t xml:space="preserve">Az ilyen dokumentumok esetében a megjelenés helye és kiadó neve helyett a dokumentum típusának megjelölése adandó meg. Disszertációk és szakdolgozatok esetén fel kell tüntetni a képző intézmény nevét és székhelyét is. </w:t>
      </w:r>
    </w:p>
    <w:p w14:paraId="2064B8E3" w14:textId="77777777" w:rsidR="00C445CF" w:rsidRDefault="00DB4137">
      <w:pPr>
        <w:spacing w:after="5"/>
        <w:ind w:left="154" w:right="160"/>
      </w:pPr>
      <w:r>
        <w:t xml:space="preserve">szerző. (évszám). cím (típus). lelőhely. </w:t>
      </w:r>
    </w:p>
    <w:p w14:paraId="53158F44" w14:textId="77777777" w:rsidR="00C445CF" w:rsidRDefault="00DB4137" w:rsidP="00E72E3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D260362" w14:textId="77777777" w:rsidR="00C445CF" w:rsidRDefault="00DB4137">
      <w:pPr>
        <w:spacing w:after="142"/>
        <w:ind w:left="452" w:right="160"/>
      </w:pPr>
      <w:r>
        <w:t xml:space="preserve">PÉLDÁK: </w:t>
      </w:r>
    </w:p>
    <w:p w14:paraId="365CC515" w14:textId="77777777" w:rsidR="00C445CF" w:rsidRDefault="00DB4137" w:rsidP="00E72E35">
      <w:pPr>
        <w:spacing w:after="139"/>
        <w:ind w:left="452" w:right="160"/>
      </w:pPr>
      <w:r>
        <w:t xml:space="preserve">Brassai S. (1863). Brassai Sámuel levele Arany Jánosnak (Kolozsvár). (Kézirat). Magyar Tudományos Akadémia Könyvtára, Budapest. </w:t>
      </w:r>
    </w:p>
    <w:p w14:paraId="2001817C" w14:textId="77777777" w:rsidR="00C445CF" w:rsidRDefault="00DB4137">
      <w:pPr>
        <w:spacing w:after="133"/>
        <w:ind w:left="452" w:right="160"/>
      </w:pPr>
      <w:r>
        <w:t xml:space="preserve">Verebélyi G. (2019). A nyelvi hátrány szerepe a tanulási akadályozottság kialakulásában. (Doktori (PhD) értekezés). Pécsi Tudományegyetem, Bölcsészettudományi Kar, Pécs. </w:t>
      </w:r>
    </w:p>
    <w:p w14:paraId="74D13721" w14:textId="77777777" w:rsidR="00C445CF" w:rsidRDefault="00DB4137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93CD8F6" w14:textId="77777777" w:rsidR="00C445CF" w:rsidRDefault="00DB4137">
      <w:pPr>
        <w:spacing w:after="202" w:line="259" w:lineRule="auto"/>
        <w:ind w:left="161" w:right="0" w:hanging="10"/>
        <w:jc w:val="left"/>
      </w:pPr>
      <w:r>
        <w:rPr>
          <w:u w:val="single" w:color="000000"/>
        </w:rPr>
        <w:t>Elektronikus dokumentumok:</w:t>
      </w:r>
      <w:r>
        <w:t xml:space="preserve"> </w:t>
      </w:r>
    </w:p>
    <w:p w14:paraId="4E5C2577" w14:textId="77777777" w:rsidR="00C445CF" w:rsidRDefault="00DB4137">
      <w:pPr>
        <w:spacing w:after="135"/>
        <w:ind w:left="154" w:right="160"/>
      </w:pPr>
      <w:r>
        <w:t xml:space="preserve">A könyv vagy tanulmány adatai mellett meg kell adni a DOI számát (a dokumentum digitális azonosítóját, amely úgy kezdődik, hogy https://doi.org/…), amennyiben nem rendelkezik DOI számmal, akkor az URL címet szükséges feltüntetni.  </w:t>
      </w:r>
    </w:p>
    <w:p w14:paraId="401626BD" w14:textId="77777777" w:rsidR="00B67D5D" w:rsidRDefault="00DB4137" w:rsidP="00B67D5D">
      <w:pPr>
        <w:spacing w:after="64" w:line="259" w:lineRule="auto"/>
        <w:ind w:left="0" w:right="0" w:firstLine="0"/>
        <w:jc w:val="left"/>
      </w:pPr>
      <w:r>
        <w:t xml:space="preserve"> </w:t>
      </w:r>
    </w:p>
    <w:p w14:paraId="2CD8F8B4" w14:textId="77777777" w:rsidR="00C445CF" w:rsidRDefault="00DB4137" w:rsidP="00B67D5D">
      <w:pPr>
        <w:spacing w:after="64" w:line="259" w:lineRule="auto"/>
        <w:ind w:left="0" w:right="0" w:firstLine="0"/>
        <w:jc w:val="left"/>
      </w:pPr>
      <w:r>
        <w:t xml:space="preserve">PÉLDÁK: </w:t>
      </w:r>
    </w:p>
    <w:p w14:paraId="1AC9D547" w14:textId="77777777" w:rsidR="00C445CF" w:rsidRDefault="00DB4137" w:rsidP="00B67D5D">
      <w:pPr>
        <w:tabs>
          <w:tab w:val="center" w:pos="360"/>
          <w:tab w:val="right" w:pos="9364"/>
        </w:tabs>
        <w:spacing w:after="17" w:line="259" w:lineRule="auto"/>
        <w:ind w:left="284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B67D5D">
        <w:rPr>
          <w:rFonts w:ascii="Arial" w:eastAsia="Arial" w:hAnsi="Arial" w:cs="Arial"/>
          <w:color w:val="0D405F"/>
          <w:sz w:val="20"/>
        </w:rPr>
        <w:t xml:space="preserve"> </w:t>
      </w:r>
      <w:r>
        <w:t xml:space="preserve">Streefkerk, R. (2019, October 11). APA 7th edition: The most notable changes. </w:t>
      </w:r>
      <w:r>
        <w:rPr>
          <w:i/>
        </w:rPr>
        <w:t>Scribbr</w:t>
      </w:r>
      <w:r w:rsidR="00B67D5D">
        <w:t xml:space="preserve">. </w:t>
      </w:r>
      <w:r>
        <w:t xml:space="preserve">https://www.scribbr.com/apa-style/apa-seventh-edition-changes/ </w:t>
      </w:r>
    </w:p>
    <w:p w14:paraId="4C07CDFF" w14:textId="77777777" w:rsidR="00B67D5D" w:rsidRDefault="00DB4137" w:rsidP="00B67D5D">
      <w:pPr>
        <w:spacing w:after="21" w:line="259" w:lineRule="auto"/>
        <w:ind w:left="360" w:right="0" w:firstLine="0"/>
        <w:jc w:val="left"/>
      </w:pPr>
      <w:r>
        <w:rPr>
          <w:rFonts w:ascii="Arial" w:eastAsia="Arial" w:hAnsi="Arial" w:cs="Arial"/>
          <w:color w:val="0D405F"/>
          <w:sz w:val="20"/>
        </w:rPr>
        <w:t xml:space="preserve"> </w:t>
      </w:r>
      <w:r>
        <w:rPr>
          <w:rFonts w:ascii="Arial" w:eastAsia="Arial" w:hAnsi="Arial" w:cs="Arial"/>
          <w:color w:val="0D405F"/>
          <w:sz w:val="20"/>
        </w:rPr>
        <w:tab/>
      </w:r>
      <w:r>
        <w:t xml:space="preserve"> </w:t>
      </w:r>
    </w:p>
    <w:p w14:paraId="62769B3B" w14:textId="77777777" w:rsidR="00C445CF" w:rsidRDefault="00DB4137" w:rsidP="00B67D5D">
      <w:pPr>
        <w:spacing w:after="21" w:line="259" w:lineRule="auto"/>
        <w:ind w:left="284" w:right="0" w:firstLine="0"/>
        <w:jc w:val="left"/>
      </w:pPr>
      <w:r>
        <w:t xml:space="preserve">vagy </w:t>
      </w:r>
    </w:p>
    <w:p w14:paraId="7B2E2057" w14:textId="77777777" w:rsidR="00C445CF" w:rsidRDefault="00DB4137" w:rsidP="00B67D5D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39B97C0" w14:textId="77777777" w:rsidR="00C445CF" w:rsidRDefault="00DB4137" w:rsidP="00B67D5D">
      <w:pPr>
        <w:spacing w:after="142"/>
        <w:ind w:left="284" w:right="160"/>
      </w:pPr>
      <w:r>
        <w:t xml:space="preserve">Varga Sz. (2018). Jogi tárgyak szükségessége a pedagógusképzésben. </w:t>
      </w:r>
      <w:r>
        <w:rPr>
          <w:i/>
        </w:rPr>
        <w:t xml:space="preserve">Képzés és Gyakorlat </w:t>
      </w:r>
    </w:p>
    <w:p w14:paraId="73197B30" w14:textId="77777777" w:rsidR="00C445CF" w:rsidRDefault="00DB4137" w:rsidP="00B67D5D">
      <w:pPr>
        <w:spacing w:after="142"/>
        <w:ind w:left="284" w:right="160"/>
      </w:pPr>
      <w:r>
        <w:rPr>
          <w:i/>
        </w:rPr>
        <w:t>/ Training and Practice, 16</w:t>
      </w:r>
      <w:r>
        <w:t xml:space="preserve">(2), 193-204. </w:t>
      </w:r>
      <w:hyperlink r:id="rId21">
        <w:r>
          <w:t>https://doi.org/10.17165/TP.2018.2.15</w:t>
        </w:r>
      </w:hyperlink>
      <w:hyperlink r:id="rId22">
        <w:r>
          <w:t xml:space="preserve"> </w:t>
        </w:r>
      </w:hyperlink>
    </w:p>
    <w:p w14:paraId="3397C37E" w14:textId="77777777" w:rsidR="00C445CF" w:rsidRDefault="00DB4137">
      <w:pPr>
        <w:spacing w:after="19" w:line="259" w:lineRule="auto"/>
        <w:ind w:left="449" w:right="0" w:firstLine="0"/>
        <w:jc w:val="left"/>
      </w:pPr>
      <w:r>
        <w:t xml:space="preserve"> </w:t>
      </w:r>
    </w:p>
    <w:p w14:paraId="603397B5" w14:textId="77777777" w:rsidR="00C445CF" w:rsidRDefault="00DB4137" w:rsidP="00B67D5D">
      <w:pPr>
        <w:ind w:left="284" w:right="160"/>
      </w:pPr>
      <w:r>
        <w:t xml:space="preserve">Rohár, A., &amp; Marton, K. (2020). Kognitív kontroll folyamatok nyelvfejlődési zavart mutató egynyelvű és tipikusan fejlődő kétnyelvű gyermekek körében. </w:t>
      </w:r>
      <w:r>
        <w:rPr>
          <w:i/>
        </w:rPr>
        <w:t>Magyar Pszichológiai Szemle, 75(</w:t>
      </w:r>
      <w:r>
        <w:t>4), 623-638. https://doi.org/10.1556/0016.2020.00036.</w:t>
      </w:r>
    </w:p>
    <w:p w14:paraId="364FD9EA" w14:textId="77777777" w:rsidR="00B67D5D" w:rsidRDefault="00B67D5D">
      <w:pPr>
        <w:ind w:left="154" w:right="160"/>
      </w:pPr>
    </w:p>
    <w:p w14:paraId="3067B3B6" w14:textId="77777777" w:rsidR="00C445CF" w:rsidRDefault="00DB4137">
      <w:pPr>
        <w:ind w:left="154" w:right="160"/>
      </w:pPr>
      <w:r>
        <w:t xml:space="preserve">A jogi anyagokra történő hivatkozásokra vonatkozó szabályokat lásd a Kiegészítésben. </w:t>
      </w:r>
    </w:p>
    <w:p w14:paraId="15660E75" w14:textId="77777777" w:rsidR="00C445CF" w:rsidRDefault="00DB4137">
      <w:pPr>
        <w:spacing w:after="62" w:line="259" w:lineRule="auto"/>
        <w:ind w:left="0" w:right="0" w:firstLine="0"/>
        <w:jc w:val="left"/>
      </w:pPr>
      <w:r>
        <w:t xml:space="preserve"> </w:t>
      </w:r>
    </w:p>
    <w:p w14:paraId="074560F8" w14:textId="77777777" w:rsidR="00C445CF" w:rsidRDefault="00DB4137">
      <w:pPr>
        <w:ind w:left="154" w:right="160"/>
      </w:pPr>
      <w:r>
        <w:rPr>
          <w:b/>
        </w:rPr>
        <w:lastRenderedPageBreak/>
        <w:t xml:space="preserve">Jegyzet: </w:t>
      </w:r>
      <w:r>
        <w:t xml:space="preserve">a főszöveget kiegészítő rövid megjegyzés, idézés, hivatkozás. Mind idézet, mind valamely más műből nem szó szerint átvett gondolat, megállapítás esetén az idézett, ill. a forrásul szolgáló műre hivatkozni kell. A hivatkozás közölhető lábjegyzetként vagy hátsó jegyzetként. A hivatkozások jegyzéke nem helyettesítheti a szakdolgozatban felhasznált irodalomjegyzéket. </w:t>
      </w:r>
    </w:p>
    <w:p w14:paraId="0BA5C1FE" w14:textId="77777777" w:rsidR="00C445CF" w:rsidRDefault="00DB4137">
      <w:pPr>
        <w:ind w:left="154" w:right="160"/>
      </w:pPr>
      <w:r>
        <w:t xml:space="preserve">A jegyzetet kétféle módon kapcsolhatjuk a szöveghez: </w:t>
      </w:r>
    </w:p>
    <w:p w14:paraId="710FF414" w14:textId="77777777" w:rsidR="00C445CF" w:rsidRDefault="00DB4137">
      <w:pPr>
        <w:spacing w:after="66" w:line="259" w:lineRule="auto"/>
        <w:ind w:left="0" w:right="0" w:firstLine="0"/>
        <w:jc w:val="left"/>
      </w:pPr>
      <w:r>
        <w:t xml:space="preserve"> </w:t>
      </w:r>
    </w:p>
    <w:p w14:paraId="0C13960F" w14:textId="77777777" w:rsidR="00C445CF" w:rsidRDefault="00DB4137">
      <w:pPr>
        <w:numPr>
          <w:ilvl w:val="0"/>
          <w:numId w:val="11"/>
        </w:numPr>
        <w:spacing w:after="196"/>
        <w:ind w:right="160" w:hanging="360"/>
      </w:pPr>
      <w:r>
        <w:t xml:space="preserve">lábjegyzetként a lap alján, a főszövegtől egyértelműen elválasztva, </w:t>
      </w:r>
    </w:p>
    <w:p w14:paraId="66707B6A" w14:textId="77777777" w:rsidR="00C445CF" w:rsidRDefault="00DB4137">
      <w:pPr>
        <w:numPr>
          <w:ilvl w:val="0"/>
          <w:numId w:val="11"/>
        </w:numPr>
        <w:ind w:right="160" w:hanging="360"/>
      </w:pPr>
      <w:r>
        <w:t xml:space="preserve">hátsó jegyzetként - nagyobb terjedelmű, nagyszámú jegyzetek esetén - a teljes szöveg után elhelyezni. </w:t>
      </w:r>
    </w:p>
    <w:p w14:paraId="043B73AB" w14:textId="77777777" w:rsidR="00C445CF" w:rsidRDefault="00DB4137" w:rsidP="00612F29">
      <w:pPr>
        <w:spacing w:after="230"/>
        <w:ind w:left="142" w:right="160"/>
      </w:pPr>
      <w:r>
        <w:t xml:space="preserve">Az érintett szövegrészt és a hozzá tartozó jegyzetet hivatkozási számmal kapcsoljuk össze. </w:t>
      </w:r>
    </w:p>
    <w:p w14:paraId="2BAB749E" w14:textId="0E03CB4B" w:rsidR="00C445CF" w:rsidRDefault="00DB4137" w:rsidP="00612F29">
      <w:pPr>
        <w:spacing w:after="270" w:line="259" w:lineRule="auto"/>
        <w:ind w:left="142" w:right="150" w:hanging="10"/>
      </w:pPr>
      <w:r>
        <w:rPr>
          <w:b/>
        </w:rPr>
        <w:t xml:space="preserve">Nem szöveges tartozékok és mellékletek </w:t>
      </w:r>
    </w:p>
    <w:p w14:paraId="6BA5A2D8" w14:textId="77777777" w:rsidR="00C445CF" w:rsidRDefault="00DB4137">
      <w:pPr>
        <w:spacing w:after="175"/>
        <w:ind w:left="154" w:right="160"/>
      </w:pPr>
      <w:r>
        <w:t xml:space="preserve">A dolgozathoz járulhatnak ábrák (rajzok, fényképek, grafikonok), táblázatok stb. Kevés számú ábra a szöveg közben is elhelyezhető, nagyobb mennyiség esetén azonban célszerű mellékletként közölni. A szövegben egyértelműen utalni kell az oda tartozó ábrákra stb.-re (pl. lásd 3. ábra, 5. melléklet). </w:t>
      </w:r>
    </w:p>
    <w:p w14:paraId="4C652351" w14:textId="77777777" w:rsidR="00C445CF" w:rsidRDefault="00DB4137">
      <w:pPr>
        <w:spacing w:after="167"/>
        <w:ind w:left="154" w:right="160"/>
      </w:pPr>
      <w:r>
        <w:t xml:space="preserve">A jelen mellékletben fel nem sorolt egyéb kérdésekben a SZE könyvtárainak szakemberei készséggel nyújtanak segítséget a hallgatóknak. </w:t>
      </w:r>
    </w:p>
    <w:p w14:paraId="5F08B52A" w14:textId="77777777" w:rsidR="00C445CF" w:rsidRDefault="00DB4137">
      <w:pPr>
        <w:spacing w:after="235" w:line="259" w:lineRule="auto"/>
        <w:ind w:left="166" w:right="0" w:firstLine="0"/>
        <w:jc w:val="left"/>
      </w:pPr>
      <w:r>
        <w:t xml:space="preserve"> </w:t>
      </w:r>
    </w:p>
    <w:p w14:paraId="5EC940F3" w14:textId="03B89966" w:rsidR="00C445CF" w:rsidRDefault="00DB4137" w:rsidP="00612F29">
      <w:pPr>
        <w:spacing w:after="176"/>
        <w:ind w:left="154" w:right="160"/>
      </w:pPr>
      <w:r>
        <w:t xml:space="preserve">Felhasznált irodalom: </w:t>
      </w:r>
    </w:p>
    <w:p w14:paraId="69CDA36F" w14:textId="77777777" w:rsidR="00C445CF" w:rsidRDefault="00DB4137">
      <w:pPr>
        <w:ind w:left="154" w:right="160"/>
      </w:pPr>
      <w:r>
        <w:t xml:space="preserve">American Psychological Association. (2019). </w:t>
      </w:r>
      <w:r>
        <w:rPr>
          <w:i/>
        </w:rPr>
        <w:t xml:space="preserve">Publication Manual of the American Psychological Association </w:t>
      </w:r>
      <w:r>
        <w:t xml:space="preserve">(7. kiadás). American Psychological Association. </w:t>
      </w:r>
    </w:p>
    <w:p w14:paraId="55A1ECC0" w14:textId="77777777" w:rsidR="00612F29" w:rsidRDefault="00612F29">
      <w:pPr>
        <w:spacing w:after="127" w:line="259" w:lineRule="auto"/>
        <w:ind w:left="341" w:right="150" w:hanging="10"/>
        <w:rPr>
          <w:b/>
        </w:rPr>
      </w:pPr>
    </w:p>
    <w:p w14:paraId="1693485A" w14:textId="77777777" w:rsidR="00BC1FC8" w:rsidRDefault="00BC1FC8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1103CE84" w14:textId="0ADB352A" w:rsidR="00C445CF" w:rsidRDefault="00DB4137" w:rsidP="00612F29">
      <w:pPr>
        <w:spacing w:after="127" w:line="259" w:lineRule="auto"/>
        <w:ind w:left="142" w:right="150" w:hanging="10"/>
      </w:pPr>
      <w:r>
        <w:rPr>
          <w:b/>
        </w:rPr>
        <w:lastRenderedPageBreak/>
        <w:t xml:space="preserve">Kiegészítés a Szakdolgozati útmutató I. Mellékletéhez  </w:t>
      </w:r>
    </w:p>
    <w:p w14:paraId="5A1654B9" w14:textId="77777777" w:rsidR="00C445CF" w:rsidRDefault="00DB4137" w:rsidP="00612F29">
      <w:pPr>
        <w:spacing w:after="76" w:line="259" w:lineRule="auto"/>
        <w:ind w:left="142" w:right="150" w:hanging="10"/>
      </w:pPr>
      <w:r>
        <w:rPr>
          <w:b/>
        </w:rPr>
        <w:t xml:space="preserve">Jogforrások megjelölése </w:t>
      </w:r>
    </w:p>
    <w:p w14:paraId="25BD34F2" w14:textId="77777777" w:rsidR="00C445CF" w:rsidRDefault="00DB4137">
      <w:pPr>
        <w:spacing w:after="12" w:line="259" w:lineRule="auto"/>
        <w:ind w:left="331" w:right="0" w:firstLine="0"/>
        <w:jc w:val="left"/>
      </w:pPr>
      <w:r>
        <w:rPr>
          <w:b/>
        </w:rPr>
        <w:t xml:space="preserve"> </w:t>
      </w:r>
    </w:p>
    <w:p w14:paraId="66A4E56E" w14:textId="77777777" w:rsidR="00C445CF" w:rsidRDefault="00DB4137">
      <w:pPr>
        <w:spacing w:after="115"/>
        <w:ind w:left="154" w:right="160"/>
      </w:pPr>
      <w:r>
        <w:t xml:space="preserve">A különböző szintű jogforrásokra (Alaptörvényre vagy annak Átmeneti Rendelkezéseire, illetve más törvényekre, önkormányzati és egyéb rendeletekre, továbbá különböző határozatokra) való hivatkozás esetén az alábbi eljárás alkalmazandó: </w:t>
      </w:r>
    </w:p>
    <w:p w14:paraId="5F028BAB" w14:textId="77777777" w:rsidR="00C445CF" w:rsidRDefault="00DB4137">
      <w:pPr>
        <w:spacing w:after="242"/>
        <w:ind w:left="154" w:right="160"/>
      </w:pPr>
      <w:r>
        <w:t xml:space="preserve">A szövegben a törvény megjelölése magába foglalja a törvény kihirdetésének évét és sorszámát, valamint a törvény elnevezését és címét, mely a következők szerint történhet: A törvény címe, a törvény kihirdetésének éve arab számmal, a törvény számát római számmal és végül a „törvény” kifejezést megjelölve. </w:t>
      </w:r>
    </w:p>
    <w:p w14:paraId="7FB50FBC" w14:textId="77777777" w:rsidR="00C445CF" w:rsidRDefault="00DB4137">
      <w:pPr>
        <w:spacing w:after="140"/>
        <w:ind w:left="154" w:right="160"/>
      </w:pPr>
      <w:r>
        <w:t xml:space="preserve">A törvény kivételével az egyéb jogszabály (pl. rendeletek) megjelölése magába foglalja a jogszabály megalkotójának megjelölését, a jogszabály sorszámát, a kihirdetés napját, valamint a jogszabály elnevezését és címét (a különböző szintű rendeletek megjelölésére vonatkozó szabályok szerint zárójelben mindig feltüntetjük a kihirdetés dátumát is: pl. 141/2000. (VIII.9.). A forrásjegyzékben pontosan meg kell határozni, hogy melyik jogszabály melyik szakaszára, bekezdésére, illetve esetlegesen pontjára vonatkozik a hivatkozás. </w:t>
      </w:r>
    </w:p>
    <w:p w14:paraId="60299FB9" w14:textId="77777777" w:rsidR="00C445CF" w:rsidRDefault="00DB4137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37E162EF" w14:textId="77777777" w:rsidR="00C445CF" w:rsidRDefault="00DB4137">
      <w:pPr>
        <w:spacing w:after="189"/>
        <w:ind w:left="154" w:right="160"/>
      </w:pPr>
      <w:r>
        <w:t xml:space="preserve">PÉLDA: </w:t>
      </w:r>
    </w:p>
    <w:p w14:paraId="5C9D45C9" w14:textId="77777777" w:rsidR="00C445CF" w:rsidRDefault="00DB4137">
      <w:pPr>
        <w:spacing w:after="158" w:line="259" w:lineRule="auto"/>
        <w:ind w:left="161" w:right="0" w:hanging="10"/>
        <w:jc w:val="left"/>
      </w:pPr>
      <w:r>
        <w:rPr>
          <w:u w:val="single" w:color="000000"/>
        </w:rPr>
        <w:t>Törvény megjelölésére vonatkozóan a folyó szövegben történő hivatkozást érintően:</w:t>
      </w:r>
      <w:r>
        <w:t xml:space="preserve"> </w:t>
      </w:r>
    </w:p>
    <w:p w14:paraId="188B1D7E" w14:textId="77777777" w:rsidR="00C445CF" w:rsidRDefault="00DB4137">
      <w:pPr>
        <w:spacing w:after="117"/>
        <w:ind w:left="572" w:right="160"/>
      </w:pPr>
      <w:r>
        <w:t xml:space="preserve">…az 1998. évi XXVI. törvény a fogyatékos személyek jogairól és esélyegyenlőségük biztosításáról meghatározza vagy </w:t>
      </w:r>
    </w:p>
    <w:p w14:paraId="2BF72CB6" w14:textId="77777777" w:rsidR="00C445CF" w:rsidRDefault="00DB4137">
      <w:pPr>
        <w:spacing w:after="0" w:line="345" w:lineRule="auto"/>
        <w:ind w:left="579" w:right="387" w:hanging="10"/>
        <w:jc w:val="left"/>
      </w:pPr>
      <w:r>
        <w:t xml:space="preserve">1998. évi XXVI. törvény a fogyatékos személyek jogairól és esélyegyenlőségük biztosításáról, 4. § (1) bekezdés b) pontja vagy az egyenlő bánásmódról és az esélyegyenlőség előmozdításáról szóló 2003. évi CXXV. </w:t>
      </w:r>
    </w:p>
    <w:p w14:paraId="447B15F6" w14:textId="77777777" w:rsidR="00C445CF" w:rsidRDefault="00DB4137">
      <w:pPr>
        <w:spacing w:after="175"/>
        <w:ind w:left="572" w:right="160"/>
      </w:pPr>
      <w:r>
        <w:t xml:space="preserve">törvény </w:t>
      </w:r>
    </w:p>
    <w:p w14:paraId="41066206" w14:textId="77777777" w:rsidR="00C445CF" w:rsidRDefault="00DB4137">
      <w:pPr>
        <w:spacing w:after="78"/>
        <w:ind w:left="509" w:right="160" w:hanging="358"/>
      </w:pPr>
      <w:r>
        <w:rPr>
          <w:u w:val="single" w:color="000000"/>
        </w:rPr>
        <w:t>Rendeletek megjelölésére vonatkozóan a folyó szövegben történő hivatkozást érintően:</w:t>
      </w:r>
      <w:r>
        <w:t xml:space="preserve"> 141/2000. (VIII.9.) Korm. rendelet a súlyos fogyatékosság minősítésének és felülvizsgálatának, valamint a fogyatékossági támogatás folyósításának szabályairól vagy a pedagógiai szakszolgálati intézmények működéséről szóló 15/2013. (II. 26.) EMMI rendelet  </w:t>
      </w:r>
    </w:p>
    <w:p w14:paraId="2CEB49FC" w14:textId="77777777" w:rsidR="00C445CF" w:rsidRDefault="00DB4137">
      <w:pPr>
        <w:spacing w:after="173"/>
        <w:ind w:left="526" w:right="160"/>
      </w:pPr>
      <w:r>
        <w:t xml:space="preserve">Érd Megyei Jogú Város Önkormányzati Közgyűlése 83/2011. (XII.22.) önkormányzati rendelete </w:t>
      </w:r>
    </w:p>
    <w:p w14:paraId="59821F2A" w14:textId="77777777" w:rsidR="00C445CF" w:rsidRDefault="00DB4137">
      <w:pPr>
        <w:spacing w:after="63" w:line="259" w:lineRule="auto"/>
        <w:ind w:left="161" w:right="0" w:hanging="10"/>
        <w:jc w:val="left"/>
      </w:pPr>
      <w:r>
        <w:rPr>
          <w:u w:val="single" w:color="000000"/>
        </w:rPr>
        <w:t>Határozatok (a Kormány, az Országgyűlés, az Egyenlő Bánásmód Hatóság, az</w:t>
      </w:r>
      <w:r>
        <w:t xml:space="preserve"> </w:t>
      </w:r>
    </w:p>
    <w:p w14:paraId="6FF26732" w14:textId="77777777" w:rsidR="00C445CF" w:rsidRDefault="00DB4137">
      <w:pPr>
        <w:spacing w:after="18" w:line="259" w:lineRule="auto"/>
        <w:ind w:left="161" w:right="0" w:hanging="10"/>
        <w:jc w:val="left"/>
      </w:pPr>
      <w:r>
        <w:rPr>
          <w:u w:val="single" w:color="000000"/>
        </w:rPr>
        <w:t>Alkotmánybíróság, a Kúria stb. határozatai) megjelölésére vonatkozóan a hivatkozást</w:t>
      </w:r>
      <w:r>
        <w:t xml:space="preserve"> </w:t>
      </w:r>
      <w:r>
        <w:rPr>
          <w:u w:val="single" w:color="000000"/>
        </w:rPr>
        <w:t>illetően:</w:t>
      </w:r>
      <w:r>
        <w:t xml:space="preserve"> </w:t>
      </w:r>
    </w:p>
    <w:p w14:paraId="416DDA4E" w14:textId="77777777" w:rsidR="00C445CF" w:rsidRDefault="00DB4137">
      <w:pPr>
        <w:spacing w:after="119"/>
        <w:ind w:left="526" w:right="160"/>
      </w:pPr>
      <w:r>
        <w:t xml:space="preserve">1653/2015. (IX. 14.) Korm. határozat az Országos Fogyatékosságügyi Program végrehajtásának 2015-2018. évekre vonatkozó Intézkedési Tervéről </w:t>
      </w:r>
    </w:p>
    <w:p w14:paraId="2E5CC6F7" w14:textId="77777777" w:rsidR="00C445CF" w:rsidRDefault="00DB4137">
      <w:pPr>
        <w:ind w:left="526" w:right="160"/>
      </w:pPr>
      <w:r>
        <w:t xml:space="preserve">10/2006. (II.16.) Ogy. határozat az új Országos Fogyatékosügyi Programról EBH/558/2016. sz. határozata </w:t>
      </w:r>
    </w:p>
    <w:p w14:paraId="7A5AEC8A" w14:textId="30E7EF6D" w:rsidR="00BC1FC8" w:rsidRDefault="00DB4137" w:rsidP="00BC1FC8">
      <w:pPr>
        <w:spacing w:before="120" w:after="120" w:line="271" w:lineRule="auto"/>
        <w:ind w:left="528" w:right="3221" w:hanging="6"/>
      </w:pPr>
      <w:r>
        <w:lastRenderedPageBreak/>
        <w:t xml:space="preserve">az Alkotmánybíróság 3096/2016. (V. 24.) AB határozata a Kúria 15/2012. sz. polgári elvi határozata </w:t>
      </w:r>
    </w:p>
    <w:p w14:paraId="01C01577" w14:textId="77777777" w:rsidR="00C445CF" w:rsidRDefault="00DB4137">
      <w:pPr>
        <w:spacing w:after="63" w:line="259" w:lineRule="auto"/>
        <w:ind w:left="161" w:right="0" w:hanging="10"/>
        <w:jc w:val="left"/>
      </w:pPr>
      <w:r>
        <w:rPr>
          <w:u w:val="single" w:color="000000"/>
        </w:rPr>
        <w:t>Egyéb jogi tárgyú hivatkozások (pl. az alapvető jogok biztosának jelentései, Egyenlő</w:t>
      </w:r>
      <w:r>
        <w:t xml:space="preserve"> </w:t>
      </w:r>
    </w:p>
    <w:p w14:paraId="41042DAD" w14:textId="77777777" w:rsidR="00C445CF" w:rsidRDefault="00DB4137">
      <w:pPr>
        <w:spacing w:after="63" w:line="259" w:lineRule="auto"/>
        <w:ind w:left="161" w:right="0" w:hanging="10"/>
        <w:jc w:val="left"/>
      </w:pPr>
      <w:r>
        <w:rPr>
          <w:u w:val="single" w:color="000000"/>
        </w:rPr>
        <w:t>Bánásmód Hatóság Tanácsadó Testületének állásfoglalása stb.)</w:t>
      </w:r>
      <w:r>
        <w:t xml:space="preserve"> </w:t>
      </w:r>
    </w:p>
    <w:p w14:paraId="58592F93" w14:textId="77777777" w:rsidR="00C445CF" w:rsidRDefault="00DB4137">
      <w:pPr>
        <w:spacing w:after="137"/>
        <w:ind w:left="526" w:right="160"/>
      </w:pPr>
      <w:r>
        <w:t xml:space="preserve">Az alapvető jogok biztosának Jelentése az AJB-5442/2016. számú ügyben kimondja, hogy…. </w:t>
      </w:r>
    </w:p>
    <w:p w14:paraId="7082F031" w14:textId="77777777" w:rsidR="00C445CF" w:rsidRDefault="00DB4137">
      <w:pPr>
        <w:spacing w:after="168"/>
        <w:ind w:left="526" w:right="160"/>
      </w:pPr>
      <w:r>
        <w:t xml:space="preserve">az Egyenlő Bánásmód Hatóság 309/1/2011. (II.11.) TT. sz. állásfoglalása az akadálymentesítési kötelezettségről </w:t>
      </w:r>
    </w:p>
    <w:p w14:paraId="6A45872D" w14:textId="77777777" w:rsidR="00C445CF" w:rsidRDefault="00DB4137">
      <w:pPr>
        <w:spacing w:after="199" w:line="259" w:lineRule="auto"/>
        <w:ind w:left="161" w:right="0" w:hanging="10"/>
        <w:jc w:val="left"/>
      </w:pPr>
      <w:r>
        <w:rPr>
          <w:u w:val="single" w:color="000000"/>
        </w:rPr>
        <w:t>Néhány európai uniós jogforrás hivatkozásáról:</w:t>
      </w:r>
      <w:r>
        <w:t xml:space="preserve"> </w:t>
      </w:r>
    </w:p>
    <w:p w14:paraId="085FC176" w14:textId="77777777" w:rsidR="00C445CF" w:rsidRDefault="00DB4137">
      <w:pPr>
        <w:spacing w:after="5"/>
        <w:ind w:left="526" w:right="160"/>
      </w:pPr>
      <w:r>
        <w:t xml:space="preserve">az Európai Unió működéséről szóló szerződés egységes szerkezetbe foglalt változata </w:t>
      </w:r>
    </w:p>
    <w:p w14:paraId="5C8D85DC" w14:textId="77777777" w:rsidR="00C445CF" w:rsidRDefault="00DB4137">
      <w:pPr>
        <w:spacing w:after="0" w:line="421" w:lineRule="auto"/>
        <w:ind w:left="533" w:right="318" w:hanging="10"/>
        <w:jc w:val="left"/>
      </w:pPr>
      <w:r>
        <w:t xml:space="preserve">(2012/C 326/01) az Európai Unió Alapjogi Chartája (2012/C 326/02) a Tanács 2000/43/EK irányelve (2000. június 29.) a személyek közötti, faji- vagy etnikai származásra tekintet nélküli egyenlő bánásmód elvének alkalmazásáról </w:t>
      </w:r>
    </w:p>
    <w:p w14:paraId="3C553964" w14:textId="77777777" w:rsidR="00C445CF" w:rsidRDefault="00DB4137">
      <w:pPr>
        <w:ind w:left="526" w:right="160"/>
      </w:pPr>
      <w:r>
        <w:t xml:space="preserve">A BIZOTTSÁG KÖZLEMÉNYE AZ EURÓPAI PARLAMENTNEK, A TANÁCSNAK, AZ EURÓPAI GAZDASÁGI ÉS SZOCIÁLIS BIZOTTSÁGNAK </w:t>
      </w:r>
    </w:p>
    <w:p w14:paraId="2C877D75" w14:textId="77777777" w:rsidR="00C445CF" w:rsidRDefault="00DB4137">
      <w:pPr>
        <w:ind w:left="526" w:right="160"/>
      </w:pPr>
      <w:r>
        <w:t xml:space="preserve">ÉS A RÉGIÓK BIZOTTSÁGÁNAK Európai fogyatékosságügyi stratégia 2010– </w:t>
      </w:r>
    </w:p>
    <w:p w14:paraId="64E4B9F5" w14:textId="77777777" w:rsidR="00C445CF" w:rsidRDefault="00DB4137">
      <w:pPr>
        <w:ind w:left="526" w:right="160"/>
      </w:pPr>
      <w:r>
        <w:t xml:space="preserve">2020: megújított elkötelezettség az akadálymentes Európa megvalósítása iránt Brüsszel, 2010.11.15. COM(2010) 636 végleges </w:t>
      </w:r>
    </w:p>
    <w:p w14:paraId="35BEDEA5" w14:textId="77777777" w:rsidR="00C445CF" w:rsidRDefault="00DB4137">
      <w:pPr>
        <w:spacing w:after="143" w:line="259" w:lineRule="auto"/>
        <w:ind w:left="0" w:right="0" w:firstLine="0"/>
        <w:jc w:val="left"/>
      </w:pPr>
      <w:r>
        <w:t xml:space="preserve"> </w:t>
      </w:r>
    </w:p>
    <w:p w14:paraId="76703655" w14:textId="77777777" w:rsidR="00C445CF" w:rsidRDefault="00DB4137" w:rsidP="00BC1FC8">
      <w:pPr>
        <w:spacing w:line="349" w:lineRule="auto"/>
        <w:ind w:left="426" w:right="160" w:firstLine="0"/>
      </w:pPr>
      <w:r>
        <w:t xml:space="preserve">az Európai Parlament 2011. október 25-i állásfoglalása a fogyatékossággal élő személyek mobilitásáról és befogadásáról, valamint a 2010-2020 közötti időszakra vonatkozó európai fogyatékosügyi stratégiáról (2010/2272(INI) </w:t>
      </w:r>
      <w:r>
        <w:rPr>
          <w:u w:val="single" w:color="000000"/>
        </w:rPr>
        <w:t>Néhány nemzetközi jogforrás hivatkozásáról:</w:t>
      </w:r>
      <w:r>
        <w:t xml:space="preserve"> </w:t>
      </w:r>
    </w:p>
    <w:p w14:paraId="49E14547" w14:textId="77777777" w:rsidR="00C445CF" w:rsidRDefault="00DB4137" w:rsidP="00BC1FC8">
      <w:pPr>
        <w:spacing w:after="5"/>
        <w:ind w:left="426" w:right="160" w:firstLine="0"/>
      </w:pPr>
      <w:r>
        <w:t xml:space="preserve">Egyezmény az emberi jogok és alapvető szabadságok védelméről (Róma, 1950. november </w:t>
      </w:r>
    </w:p>
    <w:p w14:paraId="622B8BEF" w14:textId="77777777" w:rsidR="00C445CF" w:rsidRDefault="00DB4137" w:rsidP="00BC1FC8">
      <w:pPr>
        <w:spacing w:after="172"/>
        <w:ind w:left="526" w:right="160" w:hanging="100"/>
      </w:pPr>
      <w:r>
        <w:t xml:space="preserve">4.) </w:t>
      </w:r>
    </w:p>
    <w:p w14:paraId="3BA4332E" w14:textId="77777777" w:rsidR="00C445CF" w:rsidRDefault="00DB4137" w:rsidP="00BC1FC8">
      <w:pPr>
        <w:spacing w:after="166"/>
        <w:ind w:left="426" w:right="160" w:firstLine="0"/>
      </w:pPr>
      <w:r>
        <w:t xml:space="preserve">az ENSZ Közgyűlése által 1966. december 16-án elfogadott a Polgári és Politikai Jogok Nemzetközi Egyezségokmánya </w:t>
      </w:r>
    </w:p>
    <w:p w14:paraId="254C4002" w14:textId="77777777" w:rsidR="00C445CF" w:rsidRDefault="00DB4137">
      <w:pPr>
        <w:spacing w:after="170" w:line="259" w:lineRule="auto"/>
        <w:ind w:left="161" w:right="0" w:hanging="10"/>
        <w:jc w:val="left"/>
      </w:pPr>
      <w:r>
        <w:rPr>
          <w:u w:val="single" w:color="000000"/>
        </w:rPr>
        <w:t>Internetes forrás esetén az alábbiak szerint meg kell adni a letöltés helyét és dátumát:</w:t>
      </w:r>
      <w:r>
        <w:t xml:space="preserve"> </w:t>
      </w:r>
    </w:p>
    <w:p w14:paraId="2A3732D2" w14:textId="77777777" w:rsidR="00BC1FC8" w:rsidRDefault="00DB4137">
      <w:pPr>
        <w:spacing w:after="177"/>
        <w:ind w:left="154" w:right="160"/>
      </w:pPr>
      <w:r>
        <w:t xml:space="preserve">Pl. Letöltve: 2017. 04. 28. https://net.jogtar.hu/jr/gen/hjegy_doc.cgi?docid=99800026.TV </w:t>
      </w:r>
    </w:p>
    <w:p w14:paraId="3EDA6F37" w14:textId="77777777" w:rsidR="00BC1FC8" w:rsidRDefault="00BC1FC8">
      <w:pPr>
        <w:spacing w:after="160" w:line="259" w:lineRule="auto"/>
        <w:ind w:left="0" w:right="0" w:firstLine="0"/>
        <w:jc w:val="left"/>
      </w:pPr>
      <w:r>
        <w:br w:type="page"/>
      </w:r>
    </w:p>
    <w:p w14:paraId="79404D76" w14:textId="22A569D9" w:rsidR="00C445CF" w:rsidRDefault="00DB4137">
      <w:pPr>
        <w:spacing w:after="177"/>
        <w:ind w:left="154" w:right="160"/>
      </w:pPr>
      <w:r>
        <w:rPr>
          <w:b/>
          <w:u w:val="single" w:color="000000"/>
        </w:rPr>
        <w:lastRenderedPageBreak/>
        <w:t>Jogforrások megjelölése az irodalomjegyzékben</w:t>
      </w:r>
      <w:r>
        <w:rPr>
          <w:b/>
        </w:rPr>
        <w:t xml:space="preserve"> </w:t>
      </w:r>
    </w:p>
    <w:p w14:paraId="32E8A5AC" w14:textId="77777777" w:rsidR="00C445CF" w:rsidRDefault="00DB4137">
      <w:pPr>
        <w:spacing w:after="187"/>
        <w:ind w:left="154" w:right="160"/>
      </w:pPr>
      <w:r>
        <w:t xml:space="preserve">PÉLDA </w:t>
      </w:r>
    </w:p>
    <w:p w14:paraId="2228906D" w14:textId="77777777" w:rsidR="00C445CF" w:rsidRDefault="00DB4137">
      <w:pPr>
        <w:spacing w:after="18" w:line="259" w:lineRule="auto"/>
        <w:ind w:left="161" w:right="0" w:hanging="10"/>
        <w:jc w:val="left"/>
      </w:pPr>
      <w:r>
        <w:rPr>
          <w:u w:val="single" w:color="000000"/>
        </w:rPr>
        <w:t>Törvények:</w:t>
      </w:r>
      <w:r>
        <w:t xml:space="preserve"> </w:t>
      </w:r>
    </w:p>
    <w:p w14:paraId="09397061" w14:textId="77777777" w:rsidR="00C445CF" w:rsidRDefault="00DB4137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B98F75A" w14:textId="77777777" w:rsidR="00C445CF" w:rsidRDefault="00DB4137">
      <w:pPr>
        <w:ind w:left="154" w:right="160"/>
      </w:pPr>
      <w:r>
        <w:t xml:space="preserve">Magyarország Alaptörvénye </w:t>
      </w:r>
    </w:p>
    <w:p w14:paraId="365627CA" w14:textId="77777777" w:rsidR="00C445CF" w:rsidRDefault="00DB4137">
      <w:pPr>
        <w:spacing w:after="5"/>
        <w:ind w:left="154" w:right="160"/>
      </w:pPr>
      <w:r>
        <w:t xml:space="preserve">rövidítése: Alaptörvény </w:t>
      </w:r>
    </w:p>
    <w:p w14:paraId="22414009" w14:textId="77777777" w:rsidR="00C445CF" w:rsidRDefault="00DB4137">
      <w:pPr>
        <w:spacing w:after="21" w:line="259" w:lineRule="auto"/>
        <w:ind w:left="166" w:right="0" w:firstLine="0"/>
        <w:jc w:val="left"/>
      </w:pPr>
      <w:r>
        <w:t xml:space="preserve"> </w:t>
      </w:r>
    </w:p>
    <w:p w14:paraId="3C424FF8" w14:textId="77777777" w:rsidR="00C445CF" w:rsidRDefault="00DB4137">
      <w:pPr>
        <w:spacing w:after="134"/>
        <w:ind w:left="154" w:right="2256"/>
      </w:pPr>
      <w:r>
        <w:t xml:space="preserve">1949. évi XX. törvény a Magyar Köztársaság Alkotmányáról rövidítése: Alkotmány </w:t>
      </w:r>
    </w:p>
    <w:p w14:paraId="5702A77F" w14:textId="77777777" w:rsidR="00C445CF" w:rsidRDefault="00DB4137">
      <w:pPr>
        <w:spacing w:after="56" w:line="259" w:lineRule="auto"/>
        <w:ind w:left="0" w:right="0" w:firstLine="0"/>
        <w:jc w:val="left"/>
      </w:pPr>
      <w:r>
        <w:t xml:space="preserve"> </w:t>
      </w:r>
    </w:p>
    <w:p w14:paraId="12AC6C0D" w14:textId="3FCADF73" w:rsidR="00C445CF" w:rsidRDefault="00DB4137" w:rsidP="00BC1FC8">
      <w:pPr>
        <w:spacing w:after="257" w:line="289" w:lineRule="auto"/>
        <w:ind w:left="161" w:right="182" w:hanging="10"/>
        <w:jc w:val="left"/>
      </w:pPr>
      <w:r>
        <w:t xml:space="preserve">1998. évi XXVI. törvény a fogyatékos személyek jogairól és esélyegyenlőségük biztosításáról rövidítése: Fot. </w:t>
      </w:r>
    </w:p>
    <w:p w14:paraId="7BB9FC7F" w14:textId="77777777" w:rsidR="00C445CF" w:rsidRDefault="00DB4137">
      <w:pPr>
        <w:spacing w:after="18" w:line="259" w:lineRule="auto"/>
        <w:ind w:left="161" w:right="0" w:hanging="10"/>
        <w:jc w:val="left"/>
      </w:pPr>
      <w:r>
        <w:rPr>
          <w:u w:val="single" w:color="000000"/>
        </w:rPr>
        <w:t>Rendeletek:</w:t>
      </w:r>
      <w:r>
        <w:t xml:space="preserve"> </w:t>
      </w:r>
    </w:p>
    <w:p w14:paraId="291882CF" w14:textId="77777777" w:rsidR="00C445CF" w:rsidRDefault="00DB4137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C5EFD9E" w14:textId="77777777" w:rsidR="00C445CF" w:rsidRDefault="00DB4137">
      <w:pPr>
        <w:spacing w:after="138"/>
        <w:ind w:left="154" w:right="257"/>
      </w:pPr>
      <w:r>
        <w:t xml:space="preserve">74/2015. (III.30.) Korm. rendelet a Nemzeti Rehabilitációs és Szociális Hivatalról rövidítése: NRSZH r. </w:t>
      </w:r>
    </w:p>
    <w:p w14:paraId="533455A3" w14:textId="77777777" w:rsidR="00C445CF" w:rsidRDefault="00DB4137">
      <w:pPr>
        <w:spacing w:after="94" w:line="259" w:lineRule="auto"/>
        <w:ind w:left="0" w:right="0" w:firstLine="0"/>
        <w:jc w:val="left"/>
      </w:pPr>
      <w:r>
        <w:t xml:space="preserve"> </w:t>
      </w:r>
    </w:p>
    <w:p w14:paraId="19C633BF" w14:textId="77777777" w:rsidR="00C445CF" w:rsidRDefault="00DB4137">
      <w:pPr>
        <w:spacing w:after="121" w:line="289" w:lineRule="auto"/>
        <w:ind w:left="161" w:right="4199" w:hanging="10"/>
        <w:jc w:val="left"/>
      </w:pPr>
      <w:r>
        <w:t xml:space="preserve">15/2013. (II. 26.) EMMI rendelet a pedagógiai szakszolgálati intézmények működéséről rövidítése: Pedsz r. Alkotmánybírósági döntések, határozatok: 11/2014. (IV. 4.) Alkotmánybírósági határozat </w:t>
      </w:r>
    </w:p>
    <w:p w14:paraId="63BBDE95" w14:textId="77777777" w:rsidR="00C445CF" w:rsidRDefault="00DB4137">
      <w:pPr>
        <w:spacing w:after="62" w:line="259" w:lineRule="auto"/>
        <w:ind w:left="0" w:right="0" w:firstLine="0"/>
        <w:jc w:val="left"/>
      </w:pPr>
      <w:r>
        <w:t xml:space="preserve"> </w:t>
      </w:r>
    </w:p>
    <w:p w14:paraId="3956DCCF" w14:textId="77777777" w:rsidR="00C445CF" w:rsidRDefault="00DB4137">
      <w:pPr>
        <w:spacing w:after="18" w:line="259" w:lineRule="auto"/>
        <w:ind w:left="161" w:right="0" w:hanging="10"/>
        <w:jc w:val="left"/>
      </w:pPr>
      <w:r>
        <w:rPr>
          <w:u w:val="single" w:color="000000"/>
        </w:rPr>
        <w:t>Bírósági döntések:</w:t>
      </w:r>
      <w:r>
        <w:t xml:space="preserve"> </w:t>
      </w:r>
    </w:p>
    <w:p w14:paraId="5461D381" w14:textId="77777777" w:rsidR="00C445CF" w:rsidRDefault="00DB4137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7FBE1B1" w14:textId="77777777" w:rsidR="00C445CF" w:rsidRDefault="00DB4137">
      <w:pPr>
        <w:spacing w:after="64" w:line="259" w:lineRule="auto"/>
        <w:ind w:left="0" w:right="0" w:firstLine="0"/>
        <w:jc w:val="left"/>
      </w:pPr>
      <w:r>
        <w:t xml:space="preserve"> </w:t>
      </w:r>
    </w:p>
    <w:p w14:paraId="250E175F" w14:textId="77777777" w:rsidR="00C445CF" w:rsidRDefault="00DB4137">
      <w:pPr>
        <w:spacing w:after="5"/>
        <w:ind w:left="154" w:right="160"/>
      </w:pPr>
      <w:r>
        <w:t xml:space="preserve">Kiss Alajos kontra Magyarország ügy, No. 38832/06. Ítélet: 2010. május 20. </w:t>
      </w:r>
    </w:p>
    <w:p w14:paraId="28A369B6" w14:textId="77777777" w:rsidR="00C445CF" w:rsidRDefault="00DB4137">
      <w:pPr>
        <w:spacing w:after="219" w:line="259" w:lineRule="auto"/>
        <w:ind w:left="0" w:right="0" w:firstLine="0"/>
        <w:jc w:val="left"/>
      </w:pPr>
      <w:r>
        <w:t xml:space="preserve"> </w:t>
      </w:r>
    </w:p>
    <w:p w14:paraId="201B2890" w14:textId="77777777" w:rsidR="00C445CF" w:rsidRDefault="00DB4137">
      <w:pPr>
        <w:spacing w:after="65" w:line="259" w:lineRule="auto"/>
        <w:ind w:left="0" w:right="0" w:firstLine="0"/>
        <w:jc w:val="left"/>
      </w:pPr>
      <w:r>
        <w:t xml:space="preserve"> </w:t>
      </w:r>
    </w:p>
    <w:p w14:paraId="4CEFCDB1" w14:textId="77777777" w:rsidR="00C445CF" w:rsidRDefault="00DB4137">
      <w:pPr>
        <w:spacing w:after="18" w:line="259" w:lineRule="auto"/>
        <w:ind w:left="161" w:right="0" w:hanging="10"/>
        <w:jc w:val="left"/>
      </w:pPr>
      <w:r>
        <w:rPr>
          <w:u w:val="single" w:color="000000"/>
        </w:rPr>
        <w:t>Az Európai Unió dokumentumai:</w:t>
      </w:r>
      <w:r>
        <w:t xml:space="preserve"> </w:t>
      </w:r>
    </w:p>
    <w:p w14:paraId="26B2CDAD" w14:textId="77777777" w:rsidR="00C445CF" w:rsidRDefault="00DB4137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4893F8A" w14:textId="77777777" w:rsidR="00C445CF" w:rsidRDefault="00DB4137">
      <w:pPr>
        <w:spacing w:after="58" w:line="259" w:lineRule="auto"/>
        <w:ind w:left="0" w:right="0" w:firstLine="0"/>
        <w:jc w:val="left"/>
      </w:pPr>
      <w:r>
        <w:t xml:space="preserve"> </w:t>
      </w:r>
    </w:p>
    <w:p w14:paraId="105754DF" w14:textId="77777777" w:rsidR="00C445CF" w:rsidRDefault="00DB4137">
      <w:pPr>
        <w:spacing w:after="139"/>
        <w:ind w:left="154" w:right="160"/>
      </w:pPr>
      <w:r>
        <w:t xml:space="preserve">Lisszaboni Szerződés az Európai Unióról szóló szerződés és az Európai Közösséget létrehozó szerződés módosításáról, amelyet Lisszabonban, 2007. december 13-án írtak alá (Hivatalos Lap C 306, 2007. december 17.) </w:t>
      </w:r>
    </w:p>
    <w:p w14:paraId="015FAA49" w14:textId="77777777" w:rsidR="00C445CF" w:rsidRDefault="00DB4137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5C17FAB3" w14:textId="2F245D51" w:rsidR="00DB4137" w:rsidRDefault="00DB4137" w:rsidP="001128A8">
      <w:pPr>
        <w:ind w:left="154" w:right="160"/>
      </w:pPr>
      <w:r>
        <w:t>Az Európai Unió Alapjogi Chartája. 2012/C 32</w:t>
      </w:r>
      <w:r w:rsidR="00C30B0F">
        <w:t>6/02. HL C 326/391., 26.10.2012</w:t>
      </w:r>
    </w:p>
    <w:sectPr w:rsidR="00DB4137">
      <w:footerReference w:type="even" r:id="rId23"/>
      <w:footerReference w:type="default" r:id="rId24"/>
      <w:footerReference w:type="first" r:id="rId25"/>
      <w:pgSz w:w="11911" w:h="16841"/>
      <w:pgMar w:top="1455" w:right="1436" w:bottom="786" w:left="127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12E7A" w14:textId="77777777" w:rsidR="00C90FC0" w:rsidRDefault="00C90FC0">
      <w:pPr>
        <w:spacing w:after="0" w:line="240" w:lineRule="auto"/>
      </w:pPr>
      <w:r>
        <w:separator/>
      </w:r>
    </w:p>
  </w:endnote>
  <w:endnote w:type="continuationSeparator" w:id="0">
    <w:p w14:paraId="2F37F127" w14:textId="77777777" w:rsidR="00C90FC0" w:rsidRDefault="00C9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6E615" w14:textId="77777777" w:rsidR="00AB6A29" w:rsidRDefault="00AB6A29">
    <w:pPr>
      <w:tabs>
        <w:tab w:val="center" w:pos="4398"/>
        <w:tab w:val="center" w:pos="879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2"/>
      </w:rPr>
      <w:tab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5D49" w14:textId="0118A377" w:rsidR="00AB6A29" w:rsidRDefault="00AB6A29">
    <w:pPr>
      <w:tabs>
        <w:tab w:val="center" w:pos="4398"/>
        <w:tab w:val="center" w:pos="879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013E8" w:rsidRPr="00E013E8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2"/>
      </w:rPr>
      <w:tab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6FADA" w14:textId="77777777" w:rsidR="00AB6A29" w:rsidRDefault="00AB6A29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FD10" w14:textId="77777777" w:rsidR="00AB6A29" w:rsidRDefault="00AB6A29">
    <w:pPr>
      <w:tabs>
        <w:tab w:val="center" w:pos="4681"/>
        <w:tab w:val="center" w:pos="936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2"/>
      </w:rPr>
      <w:tab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59671" w14:textId="54173D61" w:rsidR="00AB6A29" w:rsidRDefault="00AB6A29">
    <w:pPr>
      <w:tabs>
        <w:tab w:val="center" w:pos="4681"/>
        <w:tab w:val="center" w:pos="936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013E8" w:rsidRPr="00E013E8">
      <w:rPr>
        <w:noProof/>
        <w:sz w:val="22"/>
      </w:rPr>
      <w:t>13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2"/>
      </w:rPr>
      <w:tab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FC9A" w14:textId="77777777" w:rsidR="00AB6A29" w:rsidRDefault="00AB6A2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FDF5B" w14:textId="77777777" w:rsidR="00C90FC0" w:rsidRDefault="00C90FC0">
      <w:pPr>
        <w:spacing w:after="0" w:line="240" w:lineRule="auto"/>
      </w:pPr>
      <w:r>
        <w:separator/>
      </w:r>
    </w:p>
  </w:footnote>
  <w:footnote w:type="continuationSeparator" w:id="0">
    <w:p w14:paraId="4F55F324" w14:textId="77777777" w:rsidR="00C90FC0" w:rsidRDefault="00C90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411"/>
    <w:multiLevelType w:val="hybridMultilevel"/>
    <w:tmpl w:val="9FFAAB8E"/>
    <w:lvl w:ilvl="0" w:tplc="F4FE60A0">
      <w:start w:val="1"/>
      <w:numFmt w:val="bullet"/>
      <w:lvlText w:val="-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A7D5A">
      <w:start w:val="1"/>
      <w:numFmt w:val="bullet"/>
      <w:lvlText w:val="o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8912A">
      <w:start w:val="1"/>
      <w:numFmt w:val="bullet"/>
      <w:lvlText w:val="▪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E9F00">
      <w:start w:val="1"/>
      <w:numFmt w:val="bullet"/>
      <w:lvlText w:val="•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48A1CA">
      <w:start w:val="1"/>
      <w:numFmt w:val="bullet"/>
      <w:lvlText w:val="o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6C662">
      <w:start w:val="1"/>
      <w:numFmt w:val="bullet"/>
      <w:lvlText w:val="▪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6775A">
      <w:start w:val="1"/>
      <w:numFmt w:val="bullet"/>
      <w:lvlText w:val="•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2A288">
      <w:start w:val="1"/>
      <w:numFmt w:val="bullet"/>
      <w:lvlText w:val="o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2A916">
      <w:start w:val="1"/>
      <w:numFmt w:val="bullet"/>
      <w:lvlText w:val="▪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478C3"/>
    <w:multiLevelType w:val="hybridMultilevel"/>
    <w:tmpl w:val="204684D2"/>
    <w:lvl w:ilvl="0" w:tplc="D1E039F8">
      <w:start w:val="1"/>
      <w:numFmt w:val="bullet"/>
      <w:lvlText w:val="•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AC802">
      <w:start w:val="1"/>
      <w:numFmt w:val="bullet"/>
      <w:lvlText w:val="o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4DBAC">
      <w:start w:val="1"/>
      <w:numFmt w:val="bullet"/>
      <w:lvlText w:val="▪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0399C">
      <w:start w:val="1"/>
      <w:numFmt w:val="bullet"/>
      <w:lvlText w:val="•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C0BBC">
      <w:start w:val="1"/>
      <w:numFmt w:val="bullet"/>
      <w:lvlText w:val="o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CD9B6">
      <w:start w:val="1"/>
      <w:numFmt w:val="bullet"/>
      <w:lvlText w:val="▪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CFD8A">
      <w:start w:val="1"/>
      <w:numFmt w:val="bullet"/>
      <w:lvlText w:val="•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21ED6">
      <w:start w:val="1"/>
      <w:numFmt w:val="bullet"/>
      <w:lvlText w:val="o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46D70">
      <w:start w:val="1"/>
      <w:numFmt w:val="bullet"/>
      <w:lvlText w:val="▪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CD7CFC"/>
    <w:multiLevelType w:val="hybridMultilevel"/>
    <w:tmpl w:val="5C86E1F2"/>
    <w:lvl w:ilvl="0" w:tplc="040E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 w15:restartNumberingAfterBreak="0">
    <w:nsid w:val="195056D1"/>
    <w:multiLevelType w:val="hybridMultilevel"/>
    <w:tmpl w:val="BABE7A3E"/>
    <w:lvl w:ilvl="0" w:tplc="F9EC96EA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C25BAA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EAA7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0F56C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87114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A59F6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E0FDA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02CAA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E31F8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DE402B"/>
    <w:multiLevelType w:val="hybridMultilevel"/>
    <w:tmpl w:val="DAE4FDF2"/>
    <w:lvl w:ilvl="0" w:tplc="B7C24206">
      <w:start w:val="1"/>
      <w:numFmt w:val="bullet"/>
      <w:lvlText w:val="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6FB2A">
      <w:start w:val="1"/>
      <w:numFmt w:val="bullet"/>
      <w:lvlText w:val="o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E26C2">
      <w:start w:val="1"/>
      <w:numFmt w:val="bullet"/>
      <w:lvlText w:val="▪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6E7A0">
      <w:start w:val="1"/>
      <w:numFmt w:val="bullet"/>
      <w:lvlText w:val="•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E5902">
      <w:start w:val="1"/>
      <w:numFmt w:val="bullet"/>
      <w:lvlText w:val="o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0C944">
      <w:start w:val="1"/>
      <w:numFmt w:val="bullet"/>
      <w:lvlText w:val="▪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EFC44">
      <w:start w:val="1"/>
      <w:numFmt w:val="bullet"/>
      <w:lvlText w:val="•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E4AE0">
      <w:start w:val="1"/>
      <w:numFmt w:val="bullet"/>
      <w:lvlText w:val="o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88120">
      <w:start w:val="1"/>
      <w:numFmt w:val="bullet"/>
      <w:lvlText w:val="▪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3D2F13"/>
    <w:multiLevelType w:val="hybridMultilevel"/>
    <w:tmpl w:val="4A841176"/>
    <w:lvl w:ilvl="0" w:tplc="2D2EC4D8">
      <w:start w:val="1"/>
      <w:numFmt w:val="bullet"/>
      <w:lvlText w:val="●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282D0">
      <w:start w:val="1"/>
      <w:numFmt w:val="bullet"/>
      <w:lvlText w:val="o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6B28E">
      <w:start w:val="1"/>
      <w:numFmt w:val="bullet"/>
      <w:lvlText w:val="▪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A4528">
      <w:start w:val="1"/>
      <w:numFmt w:val="bullet"/>
      <w:lvlText w:val="•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C97C6">
      <w:start w:val="1"/>
      <w:numFmt w:val="bullet"/>
      <w:lvlText w:val="o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416D4">
      <w:start w:val="1"/>
      <w:numFmt w:val="bullet"/>
      <w:lvlText w:val="▪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65950">
      <w:start w:val="1"/>
      <w:numFmt w:val="bullet"/>
      <w:lvlText w:val="•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E3D44">
      <w:start w:val="1"/>
      <w:numFmt w:val="bullet"/>
      <w:lvlText w:val="o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9EA0">
      <w:start w:val="1"/>
      <w:numFmt w:val="bullet"/>
      <w:lvlText w:val="▪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5D003F"/>
    <w:multiLevelType w:val="hybridMultilevel"/>
    <w:tmpl w:val="5DC24BA2"/>
    <w:lvl w:ilvl="0" w:tplc="147666DC">
      <w:start w:val="5"/>
      <w:numFmt w:val="decimal"/>
      <w:lvlText w:val="%1.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286EA0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AF09E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4322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E6214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66EA4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E5B08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49E5A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EDEDA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2B6463"/>
    <w:multiLevelType w:val="hybridMultilevel"/>
    <w:tmpl w:val="0AD02670"/>
    <w:lvl w:ilvl="0" w:tplc="E1CA8DA8">
      <w:start w:val="1"/>
      <w:numFmt w:val="bullet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5A8C">
      <w:start w:val="1"/>
      <w:numFmt w:val="bullet"/>
      <w:lvlText w:val="o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88FAE">
      <w:start w:val="1"/>
      <w:numFmt w:val="bullet"/>
      <w:lvlText w:val="▪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66242">
      <w:start w:val="1"/>
      <w:numFmt w:val="bullet"/>
      <w:lvlText w:val="•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E934A">
      <w:start w:val="1"/>
      <w:numFmt w:val="bullet"/>
      <w:lvlText w:val="o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BC50D6">
      <w:start w:val="1"/>
      <w:numFmt w:val="bullet"/>
      <w:lvlText w:val="▪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0DB84">
      <w:start w:val="1"/>
      <w:numFmt w:val="bullet"/>
      <w:lvlText w:val="•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8D130">
      <w:start w:val="1"/>
      <w:numFmt w:val="bullet"/>
      <w:lvlText w:val="o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EE034">
      <w:start w:val="1"/>
      <w:numFmt w:val="bullet"/>
      <w:lvlText w:val="▪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5566FA"/>
    <w:multiLevelType w:val="hybridMultilevel"/>
    <w:tmpl w:val="7EB2153A"/>
    <w:lvl w:ilvl="0" w:tplc="D32CBC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4A5CD8">
      <w:start w:val="1"/>
      <w:numFmt w:val="lowerLetter"/>
      <w:lvlText w:val="%2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CA50E">
      <w:numFmt w:val="decimal"/>
      <w:lvlRestart w:val="0"/>
      <w:lvlText w:val="%3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0B37E">
      <w:start w:val="1"/>
      <w:numFmt w:val="decimal"/>
      <w:lvlText w:val="%4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25D2C">
      <w:start w:val="1"/>
      <w:numFmt w:val="lowerLetter"/>
      <w:lvlText w:val="%5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0CFA8">
      <w:start w:val="1"/>
      <w:numFmt w:val="lowerRoman"/>
      <w:lvlText w:val="%6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44546">
      <w:start w:val="1"/>
      <w:numFmt w:val="decimal"/>
      <w:lvlText w:val="%7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0E7B2">
      <w:start w:val="1"/>
      <w:numFmt w:val="lowerLetter"/>
      <w:lvlText w:val="%8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E8012">
      <w:start w:val="1"/>
      <w:numFmt w:val="lowerRoman"/>
      <w:lvlText w:val="%9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F837FA"/>
    <w:multiLevelType w:val="hybridMultilevel"/>
    <w:tmpl w:val="60BC8238"/>
    <w:lvl w:ilvl="0" w:tplc="2F2C3A8C">
      <w:start w:val="1"/>
      <w:numFmt w:val="lowerLetter"/>
      <w:lvlText w:val="%1."/>
      <w:lvlJc w:val="left"/>
      <w:pPr>
        <w:ind w:left="10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AE7C18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DA7A84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6BE1A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8A01C2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8C8B5E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C4BF2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E559C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66510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0F7D09"/>
    <w:multiLevelType w:val="hybridMultilevel"/>
    <w:tmpl w:val="231066E8"/>
    <w:lvl w:ilvl="0" w:tplc="2F82E3D4">
      <w:start w:val="1"/>
      <w:numFmt w:val="decimal"/>
      <w:lvlText w:val="%1.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85D8A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2D960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6976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AF8C0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82FF0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05476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88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A19B4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243D5C"/>
    <w:multiLevelType w:val="hybridMultilevel"/>
    <w:tmpl w:val="52D08060"/>
    <w:lvl w:ilvl="0" w:tplc="78140762">
      <w:start w:val="2"/>
      <w:numFmt w:val="decimal"/>
      <w:lvlText w:val="%1."/>
      <w:lvlJc w:val="left"/>
      <w:pPr>
        <w:ind w:left="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EBE8A">
      <w:start w:val="1"/>
      <w:numFmt w:val="lowerLetter"/>
      <w:lvlText w:val="%2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E4E24C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68106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407A3C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61438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C8AB40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09F12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0A71C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F02D04"/>
    <w:multiLevelType w:val="hybridMultilevel"/>
    <w:tmpl w:val="78606010"/>
    <w:lvl w:ilvl="0" w:tplc="A6C20F6C">
      <w:start w:val="1"/>
      <w:numFmt w:val="lowerLetter"/>
      <w:lvlText w:val="%1.)"/>
      <w:lvlJc w:val="left"/>
      <w:pPr>
        <w:ind w:left="4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C503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0E86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A1D5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64A6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4AE2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4558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EA02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6930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516CA5"/>
    <w:multiLevelType w:val="multilevel"/>
    <w:tmpl w:val="7F6E43DC"/>
    <w:lvl w:ilvl="0">
      <w:start w:val="1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-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CF"/>
    <w:rsid w:val="000E2284"/>
    <w:rsid w:val="001128A8"/>
    <w:rsid w:val="001151BD"/>
    <w:rsid w:val="00211FD2"/>
    <w:rsid w:val="002E2849"/>
    <w:rsid w:val="004B0552"/>
    <w:rsid w:val="004B50A0"/>
    <w:rsid w:val="00573359"/>
    <w:rsid w:val="005D05FF"/>
    <w:rsid w:val="00612F29"/>
    <w:rsid w:val="0061735F"/>
    <w:rsid w:val="006323AB"/>
    <w:rsid w:val="006461D0"/>
    <w:rsid w:val="008833A8"/>
    <w:rsid w:val="008E77F9"/>
    <w:rsid w:val="009A1B93"/>
    <w:rsid w:val="009C2BAA"/>
    <w:rsid w:val="00A67DF1"/>
    <w:rsid w:val="00A752D8"/>
    <w:rsid w:val="00AA01F3"/>
    <w:rsid w:val="00AB6A29"/>
    <w:rsid w:val="00B10FF5"/>
    <w:rsid w:val="00B67D5D"/>
    <w:rsid w:val="00B82738"/>
    <w:rsid w:val="00BC1FC8"/>
    <w:rsid w:val="00C30B0F"/>
    <w:rsid w:val="00C445CF"/>
    <w:rsid w:val="00C65A26"/>
    <w:rsid w:val="00C90FC0"/>
    <w:rsid w:val="00D35592"/>
    <w:rsid w:val="00D44FB0"/>
    <w:rsid w:val="00DB4137"/>
    <w:rsid w:val="00E013E8"/>
    <w:rsid w:val="00E72E35"/>
    <w:rsid w:val="00EA600A"/>
    <w:rsid w:val="00EA7CC1"/>
    <w:rsid w:val="00F5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CF92"/>
  <w15:docId w15:val="{09862A6A-91BA-4442-A155-9E45EC26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44" w:line="270" w:lineRule="auto"/>
      <w:ind w:left="169" w:right="17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 w:line="265" w:lineRule="auto"/>
      <w:ind w:left="341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AB6A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6A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6A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6A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6A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6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6A2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E72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B67D5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C1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1FC8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21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.sze.hu/dolgozatkesziteshez-es-zarovizsgahoz-kotelezo-dokumentumok" TargetMode="External"/><Relationship Id="rId13" Type="http://schemas.openxmlformats.org/officeDocument/2006/relationships/hyperlink" Target="https://pubmed.ncbi.nlm.nih.gov/35392452/" TargetMode="External"/><Relationship Id="rId18" Type="http://schemas.openxmlformats.org/officeDocument/2006/relationships/hyperlink" Target="https://pubmed.ncbi.nlm.nih.gov/35392452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7165/TP.2018.2.15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pubmed.ncbi.nlm.nih.gov/35392452/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35392452/" TargetMode="External"/><Relationship Id="rId20" Type="http://schemas.openxmlformats.org/officeDocument/2006/relationships/hyperlink" Target="https://pubmed.ncbi.nlm.nih.gov/3539245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35392452/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pubmed.ncbi.nlm.nih.gov/3539245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.sze.hu/dolgozatkesziteshez-es-zarovizsgahoz-kotelezo-dokumentumok" TargetMode="External"/><Relationship Id="rId14" Type="http://schemas.openxmlformats.org/officeDocument/2006/relationships/hyperlink" Target="https://pubmed.ncbi.nlm.nih.gov/35392452/" TargetMode="External"/><Relationship Id="rId22" Type="http://schemas.openxmlformats.org/officeDocument/2006/relationships/hyperlink" Target="https://doi.org/10.17165/TP.2018.2.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28108-12D5-4EC8-B3B7-73E31CF0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3615</Words>
  <Characters>20608</Characters>
  <Application>Microsoft Office Word</Application>
  <DocSecurity>0</DocSecurity>
  <Lines>171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Bebtó Magdolna</dc:creator>
  <cp:keywords/>
  <cp:lastModifiedBy>XY</cp:lastModifiedBy>
  <cp:revision>10</cp:revision>
  <dcterms:created xsi:type="dcterms:W3CDTF">2025-04-15T22:50:00Z</dcterms:created>
  <dcterms:modified xsi:type="dcterms:W3CDTF">2025-04-15T22:57:00Z</dcterms:modified>
</cp:coreProperties>
</file>